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6C585" w14:textId="36583B7A" w:rsidR="003E282C" w:rsidRPr="001F714D" w:rsidRDefault="00C249BE" w:rsidP="00C249BE">
      <w:pPr>
        <w:jc w:val="center"/>
        <w:rPr>
          <w:rFonts w:cstheme="minorHAnsi"/>
          <w:b/>
          <w:bCs/>
          <w:sz w:val="28"/>
          <w:szCs w:val="28"/>
        </w:rPr>
      </w:pPr>
      <w:r w:rsidRPr="001F714D">
        <w:rPr>
          <w:rFonts w:cstheme="minorHAnsi"/>
          <w:b/>
          <w:bCs/>
          <w:sz w:val="28"/>
          <w:szCs w:val="28"/>
        </w:rPr>
        <w:t>Sample Letter of Medical Necessity*</w:t>
      </w:r>
    </w:p>
    <w:p w14:paraId="1FF6EF75" w14:textId="1E36AC17" w:rsidR="00930C21" w:rsidRPr="00336882" w:rsidRDefault="00C249BE">
      <w:pPr>
        <w:rPr>
          <w:rFonts w:cstheme="minorHAnsi"/>
          <w:sz w:val="20"/>
          <w:szCs w:val="20"/>
        </w:rPr>
      </w:pPr>
      <w:r w:rsidRPr="00336882">
        <w:rPr>
          <w:rFonts w:cstheme="minorHAnsi"/>
          <w:sz w:val="20"/>
          <w:szCs w:val="20"/>
        </w:rPr>
        <w:t xml:space="preserve">*This sample letter </w:t>
      </w:r>
      <w:proofErr w:type="gramStart"/>
      <w:r w:rsidRPr="00336882">
        <w:rPr>
          <w:rFonts w:cstheme="minorHAnsi"/>
          <w:sz w:val="20"/>
          <w:szCs w:val="20"/>
        </w:rPr>
        <w:t>is provided</w:t>
      </w:r>
      <w:proofErr w:type="gramEnd"/>
      <w:r w:rsidRPr="00336882">
        <w:rPr>
          <w:rFonts w:cstheme="minorHAnsi"/>
          <w:sz w:val="20"/>
          <w:szCs w:val="20"/>
        </w:rPr>
        <w:t xml:space="preserve"> for informational purposes only. It is the responsibility of the healthcare professional, as appropriate, to determine the correct diagnosis, treatment protocol, and content of all such letters and related forms for each individual patient. Bausch + Lomb does not guarantee coverage or reimbursement for the product. Please note that </w:t>
      </w:r>
      <w:proofErr w:type="gramStart"/>
      <w:r w:rsidRPr="00336882">
        <w:rPr>
          <w:rFonts w:cstheme="minorHAnsi"/>
          <w:sz w:val="20"/>
          <w:szCs w:val="20"/>
        </w:rPr>
        <w:t>some</w:t>
      </w:r>
      <w:proofErr w:type="gramEnd"/>
      <w:r w:rsidRPr="00336882">
        <w:rPr>
          <w:rFonts w:cstheme="minorHAnsi"/>
          <w:sz w:val="20"/>
          <w:szCs w:val="20"/>
        </w:rPr>
        <w:t xml:space="preserve"> payers may have specific forms that must be completed to request prior authorization or to document medical necessity.</w:t>
      </w:r>
    </w:p>
    <w:p w14:paraId="4347252F" w14:textId="63542D92" w:rsidR="008B6697" w:rsidRPr="00336882" w:rsidRDefault="008B6697">
      <w:pPr>
        <w:rPr>
          <w:rFonts w:cstheme="minorHAnsi"/>
          <w:b/>
          <w:bCs/>
          <w:sz w:val="20"/>
          <w:szCs w:val="20"/>
        </w:rPr>
      </w:pPr>
      <w:r w:rsidRPr="00336882">
        <w:rPr>
          <w:rFonts w:cstheme="minorHAnsi"/>
          <w:b/>
          <w:bCs/>
          <w:sz w:val="20"/>
          <w:szCs w:val="20"/>
        </w:rPr>
        <w:t xml:space="preserve">[Insert physician </w:t>
      </w:r>
      <w:r w:rsidR="00E033DD" w:rsidRPr="00336882">
        <w:rPr>
          <w:rFonts w:cstheme="minorHAnsi"/>
          <w:b/>
          <w:bCs/>
          <w:sz w:val="20"/>
          <w:szCs w:val="20"/>
        </w:rPr>
        <w:t>letterhead]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E033DD" w:rsidRPr="00336882" w14:paraId="56973F31" w14:textId="77777777" w:rsidTr="00915B3D">
        <w:tc>
          <w:tcPr>
            <w:tcW w:w="5395" w:type="dxa"/>
          </w:tcPr>
          <w:p w14:paraId="632FC648" w14:textId="63A2DB13" w:rsidR="00E033DD" w:rsidRPr="00336882" w:rsidRDefault="00F02894">
            <w:pPr>
              <w:rPr>
                <w:rFonts w:cstheme="minorHAnsi"/>
                <w:sz w:val="20"/>
                <w:szCs w:val="20"/>
              </w:rPr>
            </w:pPr>
            <w:r w:rsidRPr="00336882">
              <w:rPr>
                <w:rFonts w:cstheme="minorHAnsi"/>
                <w:sz w:val="20"/>
                <w:szCs w:val="20"/>
              </w:rPr>
              <w:t>[</w:t>
            </w:r>
            <w:r w:rsidR="00A56DE0" w:rsidRPr="00336882">
              <w:rPr>
                <w:rFonts w:cstheme="minorHAnsi"/>
                <w:sz w:val="20"/>
                <w:szCs w:val="20"/>
              </w:rPr>
              <w:t>Contact name of medical director/payer representative]</w:t>
            </w:r>
          </w:p>
        </w:tc>
        <w:tc>
          <w:tcPr>
            <w:tcW w:w="5395" w:type="dxa"/>
          </w:tcPr>
          <w:p w14:paraId="3AD69ECF" w14:textId="3138022F" w:rsidR="00E033DD" w:rsidRPr="00336882" w:rsidRDefault="00560C2D">
            <w:pPr>
              <w:rPr>
                <w:rFonts w:cstheme="minorHAnsi"/>
                <w:sz w:val="20"/>
                <w:szCs w:val="20"/>
              </w:rPr>
            </w:pPr>
            <w:r w:rsidRPr="00336882">
              <w:rPr>
                <w:rFonts w:cstheme="minorHAnsi"/>
                <w:sz w:val="20"/>
                <w:szCs w:val="20"/>
              </w:rPr>
              <w:t>[Patient name]</w:t>
            </w:r>
          </w:p>
        </w:tc>
      </w:tr>
      <w:tr w:rsidR="00E033DD" w:rsidRPr="00336882" w14:paraId="130EF4FC" w14:textId="77777777" w:rsidTr="00915B3D">
        <w:tc>
          <w:tcPr>
            <w:tcW w:w="5395" w:type="dxa"/>
          </w:tcPr>
          <w:p w14:paraId="03602C65" w14:textId="558A417A" w:rsidR="00E033DD" w:rsidRPr="00336882" w:rsidRDefault="0046588C">
            <w:pPr>
              <w:rPr>
                <w:rFonts w:cstheme="minorHAnsi"/>
                <w:sz w:val="20"/>
                <w:szCs w:val="20"/>
              </w:rPr>
            </w:pPr>
            <w:r w:rsidRPr="00336882">
              <w:rPr>
                <w:rFonts w:cstheme="minorHAnsi"/>
                <w:sz w:val="20"/>
                <w:szCs w:val="20"/>
              </w:rPr>
              <w:t>[Name of health insurance company]</w:t>
            </w:r>
          </w:p>
        </w:tc>
        <w:tc>
          <w:tcPr>
            <w:tcW w:w="5395" w:type="dxa"/>
          </w:tcPr>
          <w:p w14:paraId="1B93E042" w14:textId="3DA7E312" w:rsidR="00E033DD" w:rsidRPr="00336882" w:rsidRDefault="0046588C">
            <w:pPr>
              <w:rPr>
                <w:rFonts w:cstheme="minorHAnsi"/>
                <w:sz w:val="20"/>
                <w:szCs w:val="20"/>
              </w:rPr>
            </w:pPr>
            <w:r w:rsidRPr="00336882">
              <w:rPr>
                <w:rFonts w:cstheme="minorHAnsi"/>
                <w:sz w:val="20"/>
                <w:szCs w:val="20"/>
              </w:rPr>
              <w:t>[Group/policy #]</w:t>
            </w:r>
          </w:p>
        </w:tc>
      </w:tr>
      <w:tr w:rsidR="00E033DD" w:rsidRPr="00336882" w14:paraId="5E905A2C" w14:textId="77777777" w:rsidTr="00915B3D">
        <w:tc>
          <w:tcPr>
            <w:tcW w:w="5395" w:type="dxa"/>
          </w:tcPr>
          <w:p w14:paraId="3FD91315" w14:textId="36B03D78" w:rsidR="00E033DD" w:rsidRPr="00336882" w:rsidRDefault="008D63BA">
            <w:pPr>
              <w:rPr>
                <w:rFonts w:cstheme="minorHAnsi"/>
                <w:sz w:val="20"/>
                <w:szCs w:val="20"/>
              </w:rPr>
            </w:pPr>
            <w:r w:rsidRPr="00336882">
              <w:rPr>
                <w:rFonts w:cstheme="minorHAnsi"/>
                <w:sz w:val="20"/>
                <w:szCs w:val="20"/>
              </w:rPr>
              <w:t>[Address]</w:t>
            </w:r>
          </w:p>
        </w:tc>
        <w:tc>
          <w:tcPr>
            <w:tcW w:w="5395" w:type="dxa"/>
          </w:tcPr>
          <w:p w14:paraId="05BDD490" w14:textId="5C82A31D" w:rsidR="00E033DD" w:rsidRPr="00336882" w:rsidRDefault="008D63BA">
            <w:pPr>
              <w:rPr>
                <w:rFonts w:cstheme="minorHAnsi"/>
                <w:sz w:val="20"/>
                <w:szCs w:val="20"/>
              </w:rPr>
            </w:pPr>
            <w:r w:rsidRPr="00336882">
              <w:rPr>
                <w:rFonts w:cstheme="minorHAnsi"/>
                <w:sz w:val="20"/>
                <w:szCs w:val="20"/>
              </w:rPr>
              <w:t>[Claim #]</w:t>
            </w:r>
          </w:p>
        </w:tc>
      </w:tr>
      <w:tr w:rsidR="00E033DD" w:rsidRPr="00336882" w14:paraId="52EEAD7A" w14:textId="77777777" w:rsidTr="00915B3D">
        <w:tc>
          <w:tcPr>
            <w:tcW w:w="5395" w:type="dxa"/>
          </w:tcPr>
          <w:p w14:paraId="62E03D39" w14:textId="15406BDE" w:rsidR="00E033DD" w:rsidRPr="00336882" w:rsidRDefault="008D63BA">
            <w:pPr>
              <w:rPr>
                <w:rFonts w:cstheme="minorHAnsi"/>
                <w:sz w:val="20"/>
                <w:szCs w:val="20"/>
              </w:rPr>
            </w:pPr>
            <w:r w:rsidRPr="00336882">
              <w:rPr>
                <w:rFonts w:cstheme="minorHAnsi"/>
                <w:sz w:val="20"/>
                <w:szCs w:val="20"/>
              </w:rPr>
              <w:t xml:space="preserve">[City, State, </w:t>
            </w:r>
            <w:r w:rsidR="006C08DE">
              <w:rPr>
                <w:rFonts w:cstheme="minorHAnsi"/>
                <w:sz w:val="20"/>
                <w:szCs w:val="20"/>
              </w:rPr>
              <w:t>ZIP</w:t>
            </w:r>
            <w:r w:rsidRPr="00336882">
              <w:rPr>
                <w:rFonts w:cstheme="minorHAnsi"/>
                <w:sz w:val="20"/>
                <w:szCs w:val="20"/>
              </w:rPr>
              <w:t>]</w:t>
            </w:r>
          </w:p>
        </w:tc>
        <w:tc>
          <w:tcPr>
            <w:tcW w:w="5395" w:type="dxa"/>
          </w:tcPr>
          <w:p w14:paraId="4F999B7B" w14:textId="5E8BCC67" w:rsidR="00E033DD" w:rsidRPr="00336882" w:rsidRDefault="00560C2D">
            <w:pPr>
              <w:rPr>
                <w:rFonts w:cstheme="minorHAnsi"/>
                <w:sz w:val="20"/>
                <w:szCs w:val="20"/>
              </w:rPr>
            </w:pPr>
            <w:r w:rsidRPr="00336882">
              <w:rPr>
                <w:rFonts w:cstheme="minorHAnsi"/>
                <w:sz w:val="20"/>
                <w:szCs w:val="20"/>
              </w:rPr>
              <w:t>[Date of service]</w:t>
            </w:r>
          </w:p>
        </w:tc>
      </w:tr>
    </w:tbl>
    <w:p w14:paraId="2D3153C9" w14:textId="77777777" w:rsidR="00930C21" w:rsidRPr="00336882" w:rsidRDefault="00930C21">
      <w:pPr>
        <w:rPr>
          <w:rFonts w:cstheme="minorHAnsi"/>
          <w:sz w:val="20"/>
          <w:szCs w:val="20"/>
        </w:rPr>
      </w:pPr>
    </w:p>
    <w:p w14:paraId="6261C0EB" w14:textId="20A83B6C" w:rsidR="00560C2D" w:rsidRPr="00336882" w:rsidRDefault="006724CB">
      <w:pPr>
        <w:rPr>
          <w:rFonts w:cstheme="minorHAnsi"/>
          <w:sz w:val="20"/>
          <w:szCs w:val="20"/>
        </w:rPr>
      </w:pPr>
      <w:r w:rsidRPr="00336882">
        <w:rPr>
          <w:rFonts w:cstheme="minorHAnsi"/>
          <w:sz w:val="20"/>
          <w:szCs w:val="20"/>
        </w:rPr>
        <w:t xml:space="preserve">Dear </w:t>
      </w:r>
      <w:r w:rsidRPr="00336882">
        <w:rPr>
          <w:rFonts w:cstheme="minorHAnsi"/>
          <w:b/>
          <w:bCs/>
          <w:sz w:val="20"/>
          <w:szCs w:val="20"/>
        </w:rPr>
        <w:t>[</w:t>
      </w:r>
      <w:r w:rsidR="00302035" w:rsidRPr="00336882">
        <w:rPr>
          <w:rFonts w:cstheme="minorHAnsi"/>
          <w:b/>
          <w:bCs/>
          <w:sz w:val="20"/>
          <w:szCs w:val="20"/>
        </w:rPr>
        <w:t>Insert name of medical director/payer representative</w:t>
      </w:r>
      <w:r w:rsidR="00756DAC" w:rsidRPr="00336882">
        <w:rPr>
          <w:rFonts w:cstheme="minorHAnsi"/>
          <w:b/>
          <w:bCs/>
          <w:sz w:val="20"/>
          <w:szCs w:val="20"/>
        </w:rPr>
        <w:t>/department</w:t>
      </w:r>
      <w:r w:rsidRPr="00336882">
        <w:rPr>
          <w:rFonts w:cstheme="minorHAnsi"/>
          <w:b/>
          <w:bCs/>
          <w:sz w:val="20"/>
          <w:szCs w:val="20"/>
        </w:rPr>
        <w:t>]</w:t>
      </w:r>
      <w:r w:rsidR="000E0B55" w:rsidRPr="00336882">
        <w:rPr>
          <w:rFonts w:cstheme="minorHAnsi"/>
          <w:sz w:val="20"/>
          <w:szCs w:val="20"/>
        </w:rPr>
        <w:t>,</w:t>
      </w:r>
    </w:p>
    <w:p w14:paraId="4B5F4107" w14:textId="70FC4F9C" w:rsidR="008C6EFB" w:rsidRPr="00336882" w:rsidRDefault="00756DAC" w:rsidP="00764490">
      <w:pPr>
        <w:rPr>
          <w:rFonts w:cstheme="minorHAnsi"/>
          <w:sz w:val="20"/>
          <w:szCs w:val="20"/>
        </w:rPr>
      </w:pPr>
      <w:r w:rsidRPr="00336882">
        <w:rPr>
          <w:rFonts w:cstheme="minorHAnsi"/>
          <w:sz w:val="20"/>
          <w:szCs w:val="20"/>
        </w:rPr>
        <w:t xml:space="preserve">I am writing on behalf of my patient, </w:t>
      </w:r>
      <w:r w:rsidR="00AB7D6D" w:rsidRPr="00336882">
        <w:rPr>
          <w:rFonts w:cstheme="minorHAnsi"/>
          <w:b/>
          <w:bCs/>
          <w:sz w:val="20"/>
          <w:szCs w:val="20"/>
        </w:rPr>
        <w:t>[Patient name]</w:t>
      </w:r>
      <w:r w:rsidR="00AB7D6D" w:rsidRPr="00336882">
        <w:rPr>
          <w:rFonts w:cstheme="minorHAnsi"/>
          <w:sz w:val="20"/>
          <w:szCs w:val="20"/>
        </w:rPr>
        <w:t xml:space="preserve">, to </w:t>
      </w:r>
      <w:r w:rsidR="00853CCB" w:rsidRPr="00336882">
        <w:rPr>
          <w:rFonts w:cstheme="minorHAnsi"/>
          <w:b/>
          <w:bCs/>
          <w:sz w:val="20"/>
          <w:szCs w:val="20"/>
        </w:rPr>
        <w:t>[</w:t>
      </w:r>
      <w:r w:rsidR="00B20EDF" w:rsidRPr="00336882">
        <w:rPr>
          <w:rFonts w:cstheme="minorHAnsi"/>
          <w:b/>
          <w:bCs/>
          <w:sz w:val="20"/>
          <w:szCs w:val="20"/>
        </w:rPr>
        <w:t>Document medical necessity</w:t>
      </w:r>
      <w:r w:rsidR="00853CCB" w:rsidRPr="00336882">
        <w:rPr>
          <w:rFonts w:cstheme="minorHAnsi"/>
          <w:b/>
          <w:bCs/>
          <w:sz w:val="20"/>
          <w:szCs w:val="20"/>
        </w:rPr>
        <w:t>/</w:t>
      </w:r>
      <w:r w:rsidR="00B20EDF" w:rsidRPr="00336882">
        <w:rPr>
          <w:rFonts w:cstheme="minorHAnsi"/>
          <w:b/>
          <w:bCs/>
          <w:sz w:val="20"/>
          <w:szCs w:val="20"/>
        </w:rPr>
        <w:t>request</w:t>
      </w:r>
      <w:r w:rsidR="00D97867" w:rsidRPr="00336882">
        <w:rPr>
          <w:rFonts w:cstheme="minorHAnsi"/>
          <w:b/>
          <w:bCs/>
          <w:sz w:val="20"/>
          <w:szCs w:val="20"/>
        </w:rPr>
        <w:t xml:space="preserve"> medical exception]</w:t>
      </w:r>
      <w:r w:rsidR="00410423" w:rsidRPr="00336882">
        <w:rPr>
          <w:rFonts w:cstheme="minorHAnsi"/>
          <w:b/>
          <w:bCs/>
          <w:sz w:val="20"/>
          <w:szCs w:val="20"/>
        </w:rPr>
        <w:t xml:space="preserve"> </w:t>
      </w:r>
      <w:r w:rsidR="00410423" w:rsidRPr="00336882">
        <w:rPr>
          <w:rFonts w:cstheme="minorHAnsi"/>
          <w:sz w:val="20"/>
          <w:szCs w:val="20"/>
        </w:rPr>
        <w:t xml:space="preserve">for treatment with </w:t>
      </w:r>
      <w:r w:rsidR="009D7042">
        <w:rPr>
          <w:rFonts w:cstheme="minorHAnsi"/>
          <w:sz w:val="20"/>
          <w:szCs w:val="20"/>
        </w:rPr>
        <w:t>VYZULTA</w:t>
      </w:r>
      <w:r w:rsidR="009D7042" w:rsidRPr="00336882">
        <w:rPr>
          <w:rFonts w:cstheme="minorHAnsi"/>
          <w:bCs/>
          <w:sz w:val="20"/>
          <w:szCs w:val="20"/>
          <w:vertAlign w:val="superscript"/>
        </w:rPr>
        <w:t>®</w:t>
      </w:r>
      <w:r w:rsidR="004D6D8F" w:rsidRPr="00336882">
        <w:rPr>
          <w:rFonts w:cstheme="minorHAnsi"/>
          <w:sz w:val="20"/>
          <w:szCs w:val="20"/>
        </w:rPr>
        <w:t xml:space="preserve"> (latanoprostene bunod ophthalmic solution), 0.024%. This letter serves to </w:t>
      </w:r>
      <w:r w:rsidR="003F0FC7" w:rsidRPr="00336882">
        <w:rPr>
          <w:rFonts w:cstheme="minorHAnsi"/>
          <w:sz w:val="20"/>
          <w:szCs w:val="20"/>
        </w:rPr>
        <w:t xml:space="preserve">document that </w:t>
      </w:r>
      <w:r w:rsidR="003F0FC7" w:rsidRPr="00336882">
        <w:rPr>
          <w:rFonts w:cstheme="minorHAnsi"/>
          <w:b/>
          <w:bCs/>
          <w:sz w:val="20"/>
          <w:szCs w:val="20"/>
        </w:rPr>
        <w:t>[Patient name]</w:t>
      </w:r>
      <w:r w:rsidR="003F0FC7" w:rsidRPr="00336882">
        <w:rPr>
          <w:rFonts w:cstheme="minorHAnsi"/>
          <w:sz w:val="20"/>
          <w:szCs w:val="20"/>
        </w:rPr>
        <w:t xml:space="preserve"> has a</w:t>
      </w:r>
      <w:r w:rsidR="00DE47B4" w:rsidRPr="00336882">
        <w:rPr>
          <w:rFonts w:cstheme="minorHAnsi"/>
          <w:sz w:val="20"/>
          <w:szCs w:val="20"/>
        </w:rPr>
        <w:t xml:space="preserve"> diagnosis of</w:t>
      </w:r>
      <w:r w:rsidR="003F0FC7" w:rsidRPr="00336882">
        <w:rPr>
          <w:rFonts w:cstheme="minorHAnsi"/>
          <w:sz w:val="20"/>
          <w:szCs w:val="20"/>
        </w:rPr>
        <w:t xml:space="preserve"> </w:t>
      </w:r>
      <w:r w:rsidR="00DE47B4" w:rsidRPr="00336882">
        <w:rPr>
          <w:rFonts w:cstheme="minorHAnsi"/>
          <w:b/>
          <w:bCs/>
          <w:sz w:val="20"/>
          <w:szCs w:val="20"/>
        </w:rPr>
        <w:t>[Diagnosis]</w:t>
      </w:r>
      <w:r w:rsidR="006C08DE" w:rsidRPr="00FE4C71">
        <w:rPr>
          <w:rFonts w:cstheme="minorHAnsi"/>
          <w:sz w:val="20"/>
          <w:szCs w:val="20"/>
        </w:rPr>
        <w:t>,</w:t>
      </w:r>
      <w:r w:rsidR="00DE47B4" w:rsidRPr="00336882">
        <w:rPr>
          <w:rFonts w:cstheme="minorHAnsi"/>
          <w:sz w:val="20"/>
          <w:szCs w:val="20"/>
        </w:rPr>
        <w:t xml:space="preserve"> and treatment with </w:t>
      </w:r>
      <w:r w:rsidR="009D7042">
        <w:rPr>
          <w:rFonts w:cstheme="minorHAnsi"/>
          <w:sz w:val="20"/>
          <w:szCs w:val="20"/>
        </w:rPr>
        <w:t>VYZULTA</w:t>
      </w:r>
      <w:r w:rsidR="00DE47B4" w:rsidRPr="00336882">
        <w:rPr>
          <w:rFonts w:cstheme="minorHAnsi"/>
          <w:sz w:val="20"/>
          <w:szCs w:val="20"/>
        </w:rPr>
        <w:t xml:space="preserve"> is medically necessary as prescribed.</w:t>
      </w:r>
    </w:p>
    <w:p w14:paraId="1323D638" w14:textId="495A7DFC" w:rsidR="00336882" w:rsidRPr="00336882" w:rsidRDefault="009D7042" w:rsidP="00336882">
      <w:pPr>
        <w:rPr>
          <w:rFonts w:cstheme="minorHAnsi"/>
          <w:sz w:val="20"/>
          <w:szCs w:val="20"/>
        </w:rPr>
      </w:pPr>
      <w:r>
        <w:rPr>
          <w:rFonts w:cstheme="minorHAnsi"/>
          <w:sz w:val="20"/>
          <w:szCs w:val="20"/>
        </w:rPr>
        <w:t>VYZULTA</w:t>
      </w:r>
      <w:r w:rsidR="00336882" w:rsidRPr="00336882">
        <w:rPr>
          <w:rFonts w:cstheme="minorHAnsi"/>
          <w:sz w:val="20"/>
          <w:szCs w:val="20"/>
        </w:rPr>
        <w:t xml:space="preserve"> </w:t>
      </w:r>
      <w:proofErr w:type="gramStart"/>
      <w:r w:rsidR="00336882" w:rsidRPr="00336882">
        <w:rPr>
          <w:rFonts w:cstheme="minorHAnsi"/>
          <w:sz w:val="20"/>
          <w:szCs w:val="20"/>
        </w:rPr>
        <w:t>is FDA-approved</w:t>
      </w:r>
      <w:proofErr w:type="gramEnd"/>
      <w:r w:rsidR="00336882" w:rsidRPr="00336882">
        <w:rPr>
          <w:rFonts w:cstheme="minorHAnsi"/>
          <w:sz w:val="20"/>
          <w:szCs w:val="20"/>
        </w:rPr>
        <w:t xml:space="preserve"> to lower intraocular pressure (IOP) in patients with open-angle glaucoma or ocular hypertension.</w:t>
      </w:r>
      <w:r w:rsidR="006C08DE" w:rsidRPr="006C08DE">
        <w:rPr>
          <w:rFonts w:cstheme="minorHAnsi"/>
          <w:sz w:val="20"/>
          <w:szCs w:val="20"/>
          <w:vertAlign w:val="superscript"/>
        </w:rPr>
        <w:t>1</w:t>
      </w:r>
      <w:r w:rsidR="00336882" w:rsidRPr="00336882">
        <w:rPr>
          <w:rFonts w:cstheme="minorHAnsi"/>
          <w:sz w:val="20"/>
          <w:szCs w:val="20"/>
        </w:rPr>
        <w:t xml:space="preserve"> There is currently no generic for </w:t>
      </w:r>
      <w:r>
        <w:rPr>
          <w:rFonts w:cstheme="minorHAnsi"/>
          <w:sz w:val="20"/>
          <w:szCs w:val="20"/>
        </w:rPr>
        <w:t>VYZULTA</w:t>
      </w:r>
      <w:r w:rsidR="00336882" w:rsidRPr="00336882">
        <w:rPr>
          <w:rFonts w:cstheme="minorHAnsi"/>
          <w:sz w:val="20"/>
          <w:szCs w:val="20"/>
        </w:rPr>
        <w:t>.</w:t>
      </w:r>
    </w:p>
    <w:p w14:paraId="60DDDC69" w14:textId="1AF9BCA4" w:rsidR="00336882" w:rsidRPr="00336882" w:rsidRDefault="009D7042" w:rsidP="00336882">
      <w:pPr>
        <w:rPr>
          <w:rFonts w:cstheme="minorHAnsi"/>
          <w:sz w:val="20"/>
          <w:szCs w:val="20"/>
        </w:rPr>
      </w:pPr>
      <w:r>
        <w:rPr>
          <w:rFonts w:cstheme="minorHAnsi"/>
          <w:sz w:val="20"/>
          <w:szCs w:val="20"/>
        </w:rPr>
        <w:t>VYZULTA</w:t>
      </w:r>
      <w:r w:rsidR="00336882" w:rsidRPr="00336882">
        <w:rPr>
          <w:rFonts w:cstheme="minorHAnsi"/>
          <w:sz w:val="20"/>
          <w:szCs w:val="20"/>
        </w:rPr>
        <w:t xml:space="preserve"> works differently than other prostaglandin analogues (PGAs), as it is the only PGA that delivers nitric oxide as part of a dual MOA with latanoprost acid.</w:t>
      </w:r>
      <w:r w:rsidR="00336882" w:rsidRPr="00336882">
        <w:rPr>
          <w:rFonts w:cstheme="minorHAnsi"/>
          <w:sz w:val="20"/>
          <w:szCs w:val="20"/>
          <w:vertAlign w:val="superscript"/>
        </w:rPr>
        <w:t>1,2</w:t>
      </w:r>
      <w:r w:rsidR="00336882" w:rsidRPr="00336882">
        <w:rPr>
          <w:rFonts w:cstheme="minorHAnsi"/>
          <w:sz w:val="20"/>
          <w:szCs w:val="20"/>
        </w:rPr>
        <w:t xml:space="preserve">  </w:t>
      </w:r>
    </w:p>
    <w:p w14:paraId="3A5D9F95" w14:textId="1E129186" w:rsidR="00336882" w:rsidRPr="00336882" w:rsidRDefault="00336882" w:rsidP="00336882">
      <w:pPr>
        <w:rPr>
          <w:rFonts w:cstheme="minorHAnsi"/>
          <w:sz w:val="20"/>
          <w:szCs w:val="20"/>
        </w:rPr>
      </w:pPr>
      <w:r w:rsidRPr="00336882">
        <w:rPr>
          <w:rFonts w:cstheme="minorHAnsi"/>
          <w:sz w:val="20"/>
          <w:szCs w:val="20"/>
        </w:rPr>
        <w:t>IOP is determined by the production and drainage of aqueous humor and is the only modifiable risk factor for glaucoma progression.</w:t>
      </w:r>
      <w:r w:rsidR="006C08DE" w:rsidRPr="006C08DE">
        <w:rPr>
          <w:rFonts w:cstheme="minorHAnsi"/>
          <w:sz w:val="20"/>
          <w:szCs w:val="20"/>
          <w:vertAlign w:val="superscript"/>
        </w:rPr>
        <w:t>3</w:t>
      </w:r>
      <w:r w:rsidRPr="00336882">
        <w:rPr>
          <w:rFonts w:cstheme="minorHAnsi"/>
          <w:sz w:val="20"/>
          <w:szCs w:val="20"/>
        </w:rPr>
        <w:t xml:space="preserve"> Aqueous humor drains primarily via the trabecular meshwork (TM), which is responsible for up to 80% of aqueous outflow humor, and the uveoscleral outflow pathway.</w:t>
      </w:r>
      <w:r w:rsidR="006C08DE" w:rsidRPr="006C08DE">
        <w:rPr>
          <w:rFonts w:cstheme="minorHAnsi"/>
          <w:sz w:val="20"/>
          <w:szCs w:val="20"/>
          <w:vertAlign w:val="superscript"/>
        </w:rPr>
        <w:t>4</w:t>
      </w:r>
      <w:r w:rsidRPr="00336882">
        <w:rPr>
          <w:rFonts w:cstheme="minorHAnsi"/>
          <w:sz w:val="20"/>
          <w:szCs w:val="20"/>
        </w:rPr>
        <w:t xml:space="preserve"> Nitric oxide promotes cellular relaxation in the trabecular meshwork to increase outflow while nitric oxide deficiency is believed to play a role in chronic TM contraction.</w:t>
      </w:r>
      <w:r w:rsidR="006C08DE" w:rsidRPr="006C08DE">
        <w:rPr>
          <w:rFonts w:cstheme="minorHAnsi"/>
          <w:sz w:val="20"/>
          <w:szCs w:val="20"/>
          <w:vertAlign w:val="superscript"/>
        </w:rPr>
        <w:t>2</w:t>
      </w:r>
      <w:r w:rsidRPr="00336882">
        <w:rPr>
          <w:rFonts w:cstheme="minorHAnsi"/>
          <w:sz w:val="20"/>
          <w:szCs w:val="20"/>
        </w:rPr>
        <w:t xml:space="preserve"> </w:t>
      </w:r>
      <w:r w:rsidR="009D7042">
        <w:rPr>
          <w:rFonts w:cstheme="minorHAnsi"/>
          <w:sz w:val="20"/>
          <w:szCs w:val="20"/>
        </w:rPr>
        <w:t>VYZULTA</w:t>
      </w:r>
      <w:r w:rsidRPr="00336882">
        <w:rPr>
          <w:rFonts w:cstheme="minorHAnsi"/>
          <w:sz w:val="20"/>
          <w:szCs w:val="20"/>
        </w:rPr>
        <w:t xml:space="preserve"> is thought to lower IOP by increasing outflow of aqueous humor through both the trabecular meshwork and uveoscleral outflow pathways.</w:t>
      </w:r>
      <w:r w:rsidR="009D7042" w:rsidRPr="00336882">
        <w:rPr>
          <w:rFonts w:cstheme="minorHAnsi"/>
          <w:sz w:val="20"/>
          <w:szCs w:val="20"/>
          <w:vertAlign w:val="superscript"/>
        </w:rPr>
        <w:t>1,2</w:t>
      </w:r>
      <w:r w:rsidR="009D7042" w:rsidRPr="00336882">
        <w:rPr>
          <w:rFonts w:cstheme="minorHAnsi"/>
          <w:sz w:val="20"/>
          <w:szCs w:val="20"/>
        </w:rPr>
        <w:t xml:space="preserve">  </w:t>
      </w:r>
    </w:p>
    <w:p w14:paraId="712D9C22" w14:textId="06540649" w:rsidR="00764490" w:rsidRPr="00336882" w:rsidRDefault="007F6337" w:rsidP="00764490">
      <w:pPr>
        <w:rPr>
          <w:rFonts w:cstheme="minorHAnsi"/>
          <w:b/>
          <w:bCs/>
          <w:sz w:val="20"/>
          <w:szCs w:val="20"/>
        </w:rPr>
      </w:pPr>
      <w:r w:rsidRPr="00336882">
        <w:rPr>
          <w:rFonts w:cstheme="minorHAnsi"/>
          <w:b/>
          <w:bCs/>
          <w:sz w:val="20"/>
          <w:szCs w:val="20"/>
        </w:rPr>
        <w:t xml:space="preserve">Key </w:t>
      </w:r>
      <w:r w:rsidR="009D7042">
        <w:rPr>
          <w:rFonts w:cstheme="minorHAnsi"/>
          <w:b/>
          <w:bCs/>
          <w:sz w:val="20"/>
          <w:szCs w:val="20"/>
        </w:rPr>
        <w:t>VYZULTA</w:t>
      </w:r>
      <w:r w:rsidR="00F76180" w:rsidRPr="00336882">
        <w:rPr>
          <w:rFonts w:cstheme="minorHAnsi"/>
          <w:b/>
          <w:bCs/>
          <w:sz w:val="20"/>
          <w:szCs w:val="20"/>
        </w:rPr>
        <w:t xml:space="preserve"> </w:t>
      </w:r>
      <w:r w:rsidR="00482953" w:rsidRPr="00336882">
        <w:rPr>
          <w:rFonts w:cstheme="minorHAnsi"/>
          <w:b/>
          <w:bCs/>
          <w:sz w:val="20"/>
          <w:szCs w:val="20"/>
        </w:rPr>
        <w:t>efficacy</w:t>
      </w:r>
      <w:r w:rsidR="00FF4B18" w:rsidRPr="00336882">
        <w:rPr>
          <w:rFonts w:cstheme="minorHAnsi"/>
          <w:b/>
          <w:bCs/>
          <w:sz w:val="20"/>
          <w:szCs w:val="20"/>
        </w:rPr>
        <w:t xml:space="preserve"> data</w:t>
      </w:r>
      <w:r w:rsidR="00F76180" w:rsidRPr="00336882">
        <w:rPr>
          <w:rFonts w:cstheme="minorHAnsi"/>
          <w:b/>
          <w:bCs/>
          <w:sz w:val="20"/>
          <w:szCs w:val="20"/>
        </w:rPr>
        <w:t>:</w:t>
      </w:r>
    </w:p>
    <w:p w14:paraId="65BBF2A8" w14:textId="57EFA74D" w:rsidR="00D679A2" w:rsidRPr="00336882" w:rsidRDefault="00D679A2" w:rsidP="00D679A2">
      <w:pPr>
        <w:pStyle w:val="ListParagraph"/>
        <w:numPr>
          <w:ilvl w:val="0"/>
          <w:numId w:val="2"/>
        </w:numPr>
        <w:rPr>
          <w:rFonts w:cstheme="minorHAnsi"/>
          <w:sz w:val="20"/>
          <w:szCs w:val="20"/>
        </w:rPr>
      </w:pPr>
      <w:r w:rsidRPr="00336882">
        <w:rPr>
          <w:rFonts w:cstheme="minorHAnsi"/>
          <w:sz w:val="20"/>
          <w:szCs w:val="20"/>
        </w:rPr>
        <w:t xml:space="preserve">In </w:t>
      </w:r>
      <w:r w:rsidR="00F01322" w:rsidRPr="00336882">
        <w:rPr>
          <w:rFonts w:cstheme="minorHAnsi"/>
          <w:sz w:val="20"/>
          <w:szCs w:val="20"/>
        </w:rPr>
        <w:t xml:space="preserve">the </w:t>
      </w:r>
      <w:r w:rsidRPr="00336882">
        <w:rPr>
          <w:rFonts w:cstheme="minorHAnsi"/>
          <w:sz w:val="20"/>
          <w:szCs w:val="20"/>
        </w:rPr>
        <w:t>phase 2 dose-ranging VOYAGER study</w:t>
      </w:r>
      <w:r w:rsidR="001206C3" w:rsidRPr="00336882">
        <w:rPr>
          <w:rFonts w:cstheme="minorHAnsi"/>
          <w:sz w:val="20"/>
          <w:szCs w:val="20"/>
        </w:rPr>
        <w:t>,</w:t>
      </w:r>
      <w:r w:rsidRPr="00336882">
        <w:rPr>
          <w:rFonts w:cstheme="minorHAnsi"/>
          <w:sz w:val="20"/>
          <w:szCs w:val="20"/>
        </w:rPr>
        <w:t xml:space="preserve"> </w:t>
      </w:r>
      <w:r w:rsidR="009D7042">
        <w:rPr>
          <w:rFonts w:cstheme="minorHAnsi"/>
          <w:sz w:val="20"/>
          <w:szCs w:val="20"/>
        </w:rPr>
        <w:t>VYZULTA</w:t>
      </w:r>
      <w:r w:rsidRPr="00336882">
        <w:rPr>
          <w:rFonts w:cstheme="minorHAnsi"/>
          <w:sz w:val="20"/>
          <w:szCs w:val="20"/>
        </w:rPr>
        <w:t xml:space="preserve"> significantly outperformed Xalatan (latanoprost 0.005%) in mean diurnal IOP reduction from baseline</w:t>
      </w:r>
      <w:r w:rsidR="006C08DE">
        <w:rPr>
          <w:rFonts w:cstheme="minorHAnsi"/>
          <w:sz w:val="20"/>
          <w:szCs w:val="20"/>
          <w:vertAlign w:val="superscript"/>
        </w:rPr>
        <w:t>5</w:t>
      </w:r>
      <w:r w:rsidR="00E25185" w:rsidRPr="00336882">
        <w:rPr>
          <w:rFonts w:cstheme="minorHAnsi"/>
          <w:sz w:val="20"/>
          <w:szCs w:val="20"/>
        </w:rPr>
        <w:t>:</w:t>
      </w:r>
    </w:p>
    <w:p w14:paraId="7659100A" w14:textId="1570B3D6" w:rsidR="00D679A2" w:rsidRPr="00336882" w:rsidRDefault="00D679A2" w:rsidP="00D679A2">
      <w:pPr>
        <w:pStyle w:val="ListParagraph"/>
        <w:numPr>
          <w:ilvl w:val="1"/>
          <w:numId w:val="2"/>
        </w:numPr>
        <w:rPr>
          <w:rFonts w:cstheme="minorHAnsi"/>
          <w:sz w:val="20"/>
          <w:szCs w:val="20"/>
        </w:rPr>
      </w:pPr>
      <w:r w:rsidRPr="00336882">
        <w:rPr>
          <w:rFonts w:cstheme="minorHAnsi"/>
          <w:sz w:val="20"/>
          <w:szCs w:val="20"/>
        </w:rPr>
        <w:t xml:space="preserve">At Day 28, </w:t>
      </w:r>
      <w:r w:rsidR="009D7042">
        <w:rPr>
          <w:rFonts w:cstheme="minorHAnsi"/>
          <w:sz w:val="20"/>
          <w:szCs w:val="20"/>
        </w:rPr>
        <w:t>VYZULTA</w:t>
      </w:r>
      <w:r w:rsidRPr="00336882">
        <w:rPr>
          <w:rFonts w:cstheme="minorHAnsi"/>
          <w:sz w:val="20"/>
          <w:szCs w:val="20"/>
        </w:rPr>
        <w:t xml:space="preserve"> delivered a 34.6% mean IOP reduction vs 29.8% mean IOP reduction with Xalatan</w:t>
      </w:r>
    </w:p>
    <w:p w14:paraId="51B3471D" w14:textId="61A1F145" w:rsidR="00D679A2" w:rsidRPr="00336882" w:rsidRDefault="00D679A2" w:rsidP="00D679A2">
      <w:pPr>
        <w:pStyle w:val="ListParagraph"/>
        <w:numPr>
          <w:ilvl w:val="1"/>
          <w:numId w:val="2"/>
        </w:numPr>
        <w:rPr>
          <w:rFonts w:cstheme="minorHAnsi"/>
          <w:sz w:val="20"/>
          <w:szCs w:val="20"/>
        </w:rPr>
      </w:pPr>
      <w:r w:rsidRPr="00336882">
        <w:rPr>
          <w:rFonts w:cstheme="minorHAnsi"/>
          <w:sz w:val="20"/>
          <w:szCs w:val="20"/>
        </w:rPr>
        <w:t xml:space="preserve">At Day 28, 44% more patients achieved an IOP of ≤18 mmHg while taking </w:t>
      </w:r>
      <w:r w:rsidR="009D7042">
        <w:rPr>
          <w:rFonts w:cstheme="minorHAnsi"/>
          <w:sz w:val="20"/>
          <w:szCs w:val="20"/>
        </w:rPr>
        <w:t>VYZULTA</w:t>
      </w:r>
      <w:r w:rsidRPr="00336882">
        <w:rPr>
          <w:rFonts w:cstheme="minorHAnsi"/>
          <w:sz w:val="20"/>
          <w:szCs w:val="20"/>
        </w:rPr>
        <w:t xml:space="preserve"> as compared to those taking Xalatan (69% vs 48%, respectively)</w:t>
      </w:r>
    </w:p>
    <w:p w14:paraId="23A2558F" w14:textId="27E52D21" w:rsidR="00F76180" w:rsidRPr="00336882" w:rsidRDefault="00F76180" w:rsidP="00F76180">
      <w:pPr>
        <w:pStyle w:val="ListParagraph"/>
        <w:numPr>
          <w:ilvl w:val="0"/>
          <w:numId w:val="2"/>
        </w:numPr>
        <w:rPr>
          <w:rFonts w:cstheme="minorHAnsi"/>
          <w:sz w:val="20"/>
          <w:szCs w:val="20"/>
        </w:rPr>
      </w:pPr>
      <w:r w:rsidRPr="00336882">
        <w:rPr>
          <w:rFonts w:cstheme="minorHAnsi"/>
          <w:sz w:val="20"/>
          <w:szCs w:val="20"/>
        </w:rPr>
        <w:t>I</w:t>
      </w:r>
      <w:r w:rsidR="00DF62DD" w:rsidRPr="00336882">
        <w:rPr>
          <w:rFonts w:cstheme="minorHAnsi"/>
          <w:sz w:val="20"/>
          <w:szCs w:val="20"/>
        </w:rPr>
        <w:t>n</w:t>
      </w:r>
      <w:r w:rsidRPr="00336882">
        <w:rPr>
          <w:rFonts w:cstheme="minorHAnsi"/>
          <w:sz w:val="20"/>
          <w:szCs w:val="20"/>
        </w:rPr>
        <w:t xml:space="preserve"> </w:t>
      </w:r>
      <w:r w:rsidR="00283E1F" w:rsidRPr="00336882">
        <w:rPr>
          <w:rFonts w:cstheme="minorHAnsi"/>
          <w:sz w:val="20"/>
          <w:szCs w:val="20"/>
        </w:rPr>
        <w:t xml:space="preserve">the </w:t>
      </w:r>
      <w:proofErr w:type="gramStart"/>
      <w:r w:rsidRPr="00336882">
        <w:rPr>
          <w:rFonts w:cstheme="minorHAnsi"/>
          <w:sz w:val="20"/>
          <w:szCs w:val="20"/>
        </w:rPr>
        <w:t>2</w:t>
      </w:r>
      <w:proofErr w:type="gramEnd"/>
      <w:r w:rsidRPr="00336882">
        <w:rPr>
          <w:rFonts w:cstheme="minorHAnsi"/>
          <w:sz w:val="20"/>
          <w:szCs w:val="20"/>
        </w:rPr>
        <w:t xml:space="preserve"> pivotal phase 3 studies</w:t>
      </w:r>
      <w:r w:rsidR="000562BC" w:rsidRPr="00336882">
        <w:rPr>
          <w:rFonts w:cstheme="minorHAnsi"/>
          <w:sz w:val="20"/>
          <w:szCs w:val="20"/>
        </w:rPr>
        <w:t xml:space="preserve"> (</w:t>
      </w:r>
      <w:r w:rsidR="00632C04" w:rsidRPr="00336882">
        <w:rPr>
          <w:rFonts w:cstheme="minorHAnsi"/>
          <w:sz w:val="20"/>
          <w:szCs w:val="20"/>
        </w:rPr>
        <w:t>APOLLO and LUNAR</w:t>
      </w:r>
      <w:r w:rsidR="000562BC" w:rsidRPr="00336882">
        <w:rPr>
          <w:rFonts w:cstheme="minorHAnsi"/>
          <w:sz w:val="20"/>
          <w:szCs w:val="20"/>
        </w:rPr>
        <w:t>),</w:t>
      </w:r>
      <w:r w:rsidRPr="00336882">
        <w:rPr>
          <w:rFonts w:cstheme="minorHAnsi"/>
          <w:sz w:val="20"/>
          <w:szCs w:val="20"/>
        </w:rPr>
        <w:t xml:space="preserve"> </w:t>
      </w:r>
      <w:r w:rsidR="009D7042">
        <w:rPr>
          <w:rFonts w:cstheme="minorHAnsi"/>
          <w:sz w:val="20"/>
          <w:szCs w:val="20"/>
        </w:rPr>
        <w:t>VYZULTA</w:t>
      </w:r>
      <w:r w:rsidRPr="00336882">
        <w:rPr>
          <w:rFonts w:cstheme="minorHAnsi"/>
          <w:sz w:val="20"/>
          <w:szCs w:val="20"/>
        </w:rPr>
        <w:t xml:space="preserve"> provided significantly gr</w:t>
      </w:r>
      <w:r w:rsidR="000234D7" w:rsidRPr="00336882">
        <w:rPr>
          <w:rFonts w:cstheme="minorHAnsi"/>
          <w:sz w:val="20"/>
          <w:szCs w:val="20"/>
        </w:rPr>
        <w:t>e</w:t>
      </w:r>
      <w:r w:rsidRPr="00336882">
        <w:rPr>
          <w:rFonts w:cstheme="minorHAnsi"/>
          <w:sz w:val="20"/>
          <w:szCs w:val="20"/>
        </w:rPr>
        <w:t xml:space="preserve">ater </w:t>
      </w:r>
      <w:r w:rsidR="000234D7" w:rsidRPr="00336882">
        <w:rPr>
          <w:rFonts w:cstheme="minorHAnsi"/>
          <w:sz w:val="20"/>
          <w:szCs w:val="20"/>
        </w:rPr>
        <w:t xml:space="preserve">IOP </w:t>
      </w:r>
      <w:r w:rsidR="000430F1" w:rsidRPr="00336882">
        <w:rPr>
          <w:rFonts w:cstheme="minorHAnsi"/>
          <w:sz w:val="20"/>
          <w:szCs w:val="20"/>
        </w:rPr>
        <w:t>reduction from baseline compared with timolol 0.5%</w:t>
      </w:r>
      <w:r w:rsidR="00C338EB" w:rsidRPr="00336882">
        <w:rPr>
          <w:rFonts w:cstheme="minorHAnsi"/>
          <w:sz w:val="20"/>
          <w:szCs w:val="20"/>
          <w:vertAlign w:val="superscript"/>
        </w:rPr>
        <w:t>6</w:t>
      </w:r>
      <w:r w:rsidR="006C08DE">
        <w:rPr>
          <w:rFonts w:cstheme="minorHAnsi"/>
          <w:sz w:val="20"/>
          <w:szCs w:val="20"/>
          <w:vertAlign w:val="superscript"/>
        </w:rPr>
        <w:t>-8</w:t>
      </w:r>
    </w:p>
    <w:p w14:paraId="20C088DE" w14:textId="79594B31" w:rsidR="000430F1" w:rsidRPr="00336882" w:rsidRDefault="00DF62DD" w:rsidP="000430F1">
      <w:pPr>
        <w:pStyle w:val="ListParagraph"/>
        <w:numPr>
          <w:ilvl w:val="1"/>
          <w:numId w:val="2"/>
        </w:numPr>
        <w:rPr>
          <w:rFonts w:cstheme="minorHAnsi"/>
          <w:sz w:val="20"/>
          <w:szCs w:val="20"/>
        </w:rPr>
      </w:pPr>
      <w:r w:rsidRPr="00336882">
        <w:rPr>
          <w:rFonts w:cstheme="minorHAnsi"/>
          <w:sz w:val="20"/>
          <w:szCs w:val="20"/>
        </w:rPr>
        <w:t xml:space="preserve">Up to 9.1 mmHg </w:t>
      </w:r>
      <w:r w:rsidR="003842C3" w:rsidRPr="00336882">
        <w:rPr>
          <w:rFonts w:cstheme="minorHAnsi"/>
          <w:sz w:val="20"/>
          <w:szCs w:val="20"/>
        </w:rPr>
        <w:t>IOP reduction from baseline</w:t>
      </w:r>
    </w:p>
    <w:p w14:paraId="3A32E7F1" w14:textId="1CB1CB2C" w:rsidR="007007F1" w:rsidRPr="00336882" w:rsidRDefault="007007F1" w:rsidP="000430F1">
      <w:pPr>
        <w:pStyle w:val="ListParagraph"/>
        <w:numPr>
          <w:ilvl w:val="1"/>
          <w:numId w:val="2"/>
        </w:numPr>
        <w:rPr>
          <w:rFonts w:cstheme="minorHAnsi"/>
          <w:sz w:val="20"/>
          <w:szCs w:val="20"/>
        </w:rPr>
      </w:pPr>
      <w:r w:rsidRPr="00336882">
        <w:rPr>
          <w:rFonts w:cstheme="minorHAnsi"/>
          <w:sz w:val="20"/>
          <w:szCs w:val="20"/>
        </w:rPr>
        <w:t>&gt;30% mean diurnal IOP reduction across all tested timepoints</w:t>
      </w:r>
    </w:p>
    <w:p w14:paraId="7DE8E2BA" w14:textId="2A72905C" w:rsidR="00E72671" w:rsidRPr="00336882" w:rsidRDefault="00366035" w:rsidP="007007F1">
      <w:pPr>
        <w:pStyle w:val="ListParagraph"/>
        <w:numPr>
          <w:ilvl w:val="0"/>
          <w:numId w:val="2"/>
        </w:numPr>
        <w:rPr>
          <w:rFonts w:cstheme="minorHAnsi"/>
          <w:sz w:val="20"/>
          <w:szCs w:val="20"/>
        </w:rPr>
      </w:pPr>
      <w:r w:rsidRPr="00336882">
        <w:rPr>
          <w:rFonts w:cstheme="minorHAnsi"/>
          <w:sz w:val="20"/>
          <w:szCs w:val="20"/>
        </w:rPr>
        <w:t>In r</w:t>
      </w:r>
      <w:r w:rsidR="00FF3884" w:rsidRPr="00336882">
        <w:rPr>
          <w:rFonts w:cstheme="minorHAnsi"/>
          <w:sz w:val="20"/>
          <w:szCs w:val="20"/>
        </w:rPr>
        <w:t>eal</w:t>
      </w:r>
      <w:r w:rsidR="00B822CC" w:rsidRPr="00336882">
        <w:rPr>
          <w:rFonts w:cstheme="minorHAnsi"/>
          <w:sz w:val="20"/>
          <w:szCs w:val="20"/>
        </w:rPr>
        <w:t>-world stud</w:t>
      </w:r>
      <w:r w:rsidR="00001317" w:rsidRPr="00336882">
        <w:rPr>
          <w:rFonts w:cstheme="minorHAnsi"/>
          <w:sz w:val="20"/>
          <w:szCs w:val="20"/>
        </w:rPr>
        <w:t>y evidence</w:t>
      </w:r>
      <w:r w:rsidR="006C08DE">
        <w:rPr>
          <w:rFonts w:cstheme="minorHAnsi"/>
          <w:sz w:val="20"/>
          <w:szCs w:val="20"/>
        </w:rPr>
        <w:t>,</w:t>
      </w:r>
      <w:r w:rsidR="008A6031" w:rsidRPr="00336882">
        <w:rPr>
          <w:rFonts w:cstheme="minorHAnsi"/>
          <w:sz w:val="20"/>
          <w:szCs w:val="20"/>
        </w:rPr>
        <w:t xml:space="preserve"> </w:t>
      </w:r>
      <w:r w:rsidR="009D7042">
        <w:rPr>
          <w:rFonts w:cstheme="minorHAnsi"/>
          <w:sz w:val="20"/>
          <w:szCs w:val="20"/>
        </w:rPr>
        <w:t>VYZULTA</w:t>
      </w:r>
      <w:r w:rsidRPr="00336882">
        <w:rPr>
          <w:rFonts w:cstheme="minorHAnsi"/>
          <w:sz w:val="20"/>
          <w:szCs w:val="20"/>
        </w:rPr>
        <w:t xml:space="preserve"> demonstrate</w:t>
      </w:r>
      <w:r w:rsidR="00E72671" w:rsidRPr="00336882">
        <w:rPr>
          <w:rFonts w:cstheme="minorHAnsi"/>
          <w:sz w:val="20"/>
          <w:szCs w:val="20"/>
        </w:rPr>
        <w:t>d</w:t>
      </w:r>
      <w:r w:rsidR="006C08DE" w:rsidRPr="006C08DE">
        <w:rPr>
          <w:rFonts w:cstheme="minorHAnsi"/>
          <w:sz w:val="20"/>
          <w:szCs w:val="20"/>
          <w:vertAlign w:val="superscript"/>
        </w:rPr>
        <w:t>9,10</w:t>
      </w:r>
      <w:r w:rsidR="00E72671" w:rsidRPr="00336882">
        <w:rPr>
          <w:rFonts w:cstheme="minorHAnsi"/>
          <w:sz w:val="20"/>
          <w:szCs w:val="20"/>
        </w:rPr>
        <w:t>:</w:t>
      </w:r>
    </w:p>
    <w:p w14:paraId="5F471AFC" w14:textId="6787B405" w:rsidR="00864C6B" w:rsidRPr="00336882" w:rsidRDefault="00E72671" w:rsidP="00E72671">
      <w:pPr>
        <w:pStyle w:val="ListParagraph"/>
        <w:numPr>
          <w:ilvl w:val="1"/>
          <w:numId w:val="2"/>
        </w:numPr>
        <w:rPr>
          <w:rFonts w:cstheme="minorHAnsi"/>
          <w:sz w:val="20"/>
          <w:szCs w:val="20"/>
        </w:rPr>
      </w:pPr>
      <w:proofErr w:type="gramStart"/>
      <w:r w:rsidRPr="00336882">
        <w:rPr>
          <w:rFonts w:cstheme="minorHAnsi"/>
          <w:sz w:val="20"/>
          <w:szCs w:val="20"/>
        </w:rPr>
        <w:t>41%</w:t>
      </w:r>
      <w:proofErr w:type="gramEnd"/>
      <w:r w:rsidRPr="00336882">
        <w:rPr>
          <w:rFonts w:cstheme="minorHAnsi"/>
          <w:sz w:val="20"/>
          <w:szCs w:val="20"/>
        </w:rPr>
        <w:t xml:space="preserve"> mean IOP reduction from baseline in </w:t>
      </w:r>
      <w:r w:rsidR="00C97E30" w:rsidRPr="00336882">
        <w:rPr>
          <w:rFonts w:cstheme="minorHAnsi"/>
          <w:sz w:val="20"/>
          <w:szCs w:val="20"/>
        </w:rPr>
        <w:t xml:space="preserve">first-line (new-to-treatment) </w:t>
      </w:r>
      <w:r w:rsidRPr="00336882">
        <w:rPr>
          <w:rFonts w:cstheme="minorHAnsi"/>
          <w:sz w:val="20"/>
          <w:szCs w:val="20"/>
        </w:rPr>
        <w:t>patients with h</w:t>
      </w:r>
      <w:r w:rsidR="00864C6B" w:rsidRPr="00336882">
        <w:rPr>
          <w:rFonts w:cstheme="minorHAnsi"/>
          <w:sz w:val="20"/>
          <w:szCs w:val="20"/>
        </w:rPr>
        <w:t>igh baseline IOP</w:t>
      </w:r>
    </w:p>
    <w:p w14:paraId="39300AC0" w14:textId="3DF4ACA2" w:rsidR="000D66FA" w:rsidRPr="00336882" w:rsidRDefault="00864C6B" w:rsidP="00E72671">
      <w:pPr>
        <w:pStyle w:val="ListParagraph"/>
        <w:numPr>
          <w:ilvl w:val="1"/>
          <w:numId w:val="2"/>
        </w:numPr>
        <w:rPr>
          <w:rFonts w:cstheme="minorHAnsi"/>
          <w:sz w:val="20"/>
          <w:szCs w:val="20"/>
        </w:rPr>
      </w:pPr>
      <w:proofErr w:type="gramStart"/>
      <w:r w:rsidRPr="00336882">
        <w:rPr>
          <w:rFonts w:cstheme="minorHAnsi"/>
          <w:sz w:val="20"/>
          <w:szCs w:val="20"/>
        </w:rPr>
        <w:t>22%</w:t>
      </w:r>
      <w:proofErr w:type="gramEnd"/>
      <w:r w:rsidRPr="00336882">
        <w:rPr>
          <w:rFonts w:cstheme="minorHAnsi"/>
          <w:sz w:val="20"/>
          <w:szCs w:val="20"/>
        </w:rPr>
        <w:t xml:space="preserve"> mean IOP reduction from baseline in first-line </w:t>
      </w:r>
      <w:r w:rsidR="00102A37" w:rsidRPr="00336882">
        <w:rPr>
          <w:rFonts w:cstheme="minorHAnsi"/>
          <w:sz w:val="20"/>
          <w:szCs w:val="20"/>
        </w:rPr>
        <w:t>(</w:t>
      </w:r>
      <w:r w:rsidR="00C97E30" w:rsidRPr="00336882">
        <w:rPr>
          <w:rFonts w:cstheme="minorHAnsi"/>
          <w:sz w:val="20"/>
          <w:szCs w:val="20"/>
        </w:rPr>
        <w:t>new-to-treatment</w:t>
      </w:r>
      <w:r w:rsidR="00102A37" w:rsidRPr="00336882">
        <w:rPr>
          <w:rFonts w:cstheme="minorHAnsi"/>
          <w:sz w:val="20"/>
          <w:szCs w:val="20"/>
        </w:rPr>
        <w:t>)</w:t>
      </w:r>
      <w:r w:rsidRPr="00336882">
        <w:rPr>
          <w:rFonts w:cstheme="minorHAnsi"/>
          <w:sz w:val="20"/>
          <w:szCs w:val="20"/>
        </w:rPr>
        <w:t xml:space="preserve"> patients with low baseline IOP</w:t>
      </w:r>
    </w:p>
    <w:p w14:paraId="441CBD94" w14:textId="5015B541" w:rsidR="00FF3884" w:rsidRPr="00336882" w:rsidRDefault="000D66FA" w:rsidP="00E72671">
      <w:pPr>
        <w:pStyle w:val="ListParagraph"/>
        <w:numPr>
          <w:ilvl w:val="1"/>
          <w:numId w:val="2"/>
        </w:numPr>
        <w:rPr>
          <w:rFonts w:cstheme="minorHAnsi"/>
          <w:sz w:val="20"/>
          <w:szCs w:val="20"/>
        </w:rPr>
      </w:pPr>
      <w:proofErr w:type="gramStart"/>
      <w:r w:rsidRPr="00336882">
        <w:rPr>
          <w:rFonts w:cstheme="minorHAnsi"/>
          <w:sz w:val="20"/>
          <w:szCs w:val="20"/>
        </w:rPr>
        <w:t>25%</w:t>
      </w:r>
      <w:proofErr w:type="gramEnd"/>
      <w:r w:rsidRPr="00336882">
        <w:rPr>
          <w:rFonts w:cstheme="minorHAnsi"/>
          <w:sz w:val="20"/>
          <w:szCs w:val="20"/>
        </w:rPr>
        <w:t xml:space="preserve"> mean IOP reduction </w:t>
      </w:r>
      <w:r w:rsidR="00686B5A" w:rsidRPr="00336882">
        <w:rPr>
          <w:rFonts w:cstheme="minorHAnsi"/>
          <w:sz w:val="20"/>
          <w:szCs w:val="20"/>
        </w:rPr>
        <w:t xml:space="preserve">for all patients who switched to </w:t>
      </w:r>
      <w:r w:rsidR="009D7042">
        <w:rPr>
          <w:rFonts w:cstheme="minorHAnsi"/>
          <w:sz w:val="20"/>
          <w:szCs w:val="20"/>
        </w:rPr>
        <w:t>VYZULTA</w:t>
      </w:r>
      <w:r w:rsidR="0045143F" w:rsidRPr="00336882">
        <w:rPr>
          <w:rFonts w:cstheme="minorHAnsi"/>
          <w:sz w:val="20"/>
          <w:szCs w:val="20"/>
        </w:rPr>
        <w:t xml:space="preserve"> from existing PGA treatment</w:t>
      </w:r>
    </w:p>
    <w:p w14:paraId="0C5F1BB5" w14:textId="39BA8EC4" w:rsidR="0045143F" w:rsidRPr="00336882" w:rsidRDefault="00482953" w:rsidP="00482953">
      <w:pPr>
        <w:rPr>
          <w:rFonts w:cstheme="minorHAnsi"/>
          <w:b/>
          <w:bCs/>
          <w:sz w:val="20"/>
          <w:szCs w:val="20"/>
        </w:rPr>
      </w:pPr>
      <w:r w:rsidRPr="00336882">
        <w:rPr>
          <w:rFonts w:cstheme="minorHAnsi"/>
          <w:b/>
          <w:bCs/>
          <w:sz w:val="20"/>
          <w:szCs w:val="20"/>
        </w:rPr>
        <w:t xml:space="preserve">Key </w:t>
      </w:r>
      <w:r w:rsidR="009D7042">
        <w:rPr>
          <w:rFonts w:cstheme="minorHAnsi"/>
          <w:b/>
          <w:bCs/>
          <w:sz w:val="20"/>
          <w:szCs w:val="20"/>
        </w:rPr>
        <w:t>VYZULTA</w:t>
      </w:r>
      <w:r w:rsidRPr="00336882">
        <w:rPr>
          <w:rFonts w:cstheme="minorHAnsi"/>
          <w:b/>
          <w:bCs/>
          <w:sz w:val="20"/>
          <w:szCs w:val="20"/>
        </w:rPr>
        <w:t xml:space="preserve"> tolerability</w:t>
      </w:r>
      <w:r w:rsidR="00FF4B18" w:rsidRPr="00336882">
        <w:rPr>
          <w:rFonts w:cstheme="minorHAnsi"/>
          <w:b/>
          <w:bCs/>
          <w:sz w:val="20"/>
          <w:szCs w:val="20"/>
        </w:rPr>
        <w:t xml:space="preserve"> data</w:t>
      </w:r>
      <w:r w:rsidR="00C338EB" w:rsidRPr="00336882">
        <w:rPr>
          <w:rFonts w:cstheme="minorHAnsi"/>
          <w:b/>
          <w:bCs/>
          <w:sz w:val="20"/>
          <w:szCs w:val="20"/>
          <w:vertAlign w:val="superscript"/>
        </w:rPr>
        <w:t>1,</w:t>
      </w:r>
      <w:r w:rsidR="006C08DE">
        <w:rPr>
          <w:rFonts w:cstheme="minorHAnsi"/>
          <w:b/>
          <w:bCs/>
          <w:sz w:val="20"/>
          <w:szCs w:val="20"/>
          <w:vertAlign w:val="superscript"/>
        </w:rPr>
        <w:t>11</w:t>
      </w:r>
      <w:r w:rsidRPr="00336882">
        <w:rPr>
          <w:rFonts w:cstheme="minorHAnsi"/>
          <w:b/>
          <w:bCs/>
          <w:sz w:val="20"/>
          <w:szCs w:val="20"/>
        </w:rPr>
        <w:t>:</w:t>
      </w:r>
    </w:p>
    <w:p w14:paraId="21410CF8" w14:textId="6A502B81" w:rsidR="00482953" w:rsidRPr="00336882" w:rsidRDefault="0042289A" w:rsidP="00482953">
      <w:pPr>
        <w:pStyle w:val="ListParagraph"/>
        <w:numPr>
          <w:ilvl w:val="0"/>
          <w:numId w:val="3"/>
        </w:numPr>
        <w:rPr>
          <w:rFonts w:cstheme="minorHAnsi"/>
          <w:sz w:val="20"/>
          <w:szCs w:val="20"/>
        </w:rPr>
      </w:pPr>
      <w:r w:rsidRPr="00336882">
        <w:rPr>
          <w:rFonts w:cstheme="minorHAnsi"/>
          <w:sz w:val="20"/>
          <w:szCs w:val="20"/>
        </w:rPr>
        <w:t>In phase 3</w:t>
      </w:r>
      <w:r w:rsidR="00535E2E" w:rsidRPr="00336882">
        <w:rPr>
          <w:rFonts w:cstheme="minorHAnsi"/>
          <w:sz w:val="20"/>
          <w:szCs w:val="20"/>
        </w:rPr>
        <w:t xml:space="preserve"> studies</w:t>
      </w:r>
      <w:r w:rsidRPr="00336882">
        <w:rPr>
          <w:rFonts w:cstheme="minorHAnsi"/>
          <w:sz w:val="20"/>
          <w:szCs w:val="20"/>
        </w:rPr>
        <w:t xml:space="preserve">, </w:t>
      </w:r>
      <w:r w:rsidR="009D7042">
        <w:rPr>
          <w:rFonts w:cstheme="minorHAnsi"/>
          <w:sz w:val="20"/>
          <w:szCs w:val="20"/>
        </w:rPr>
        <w:t>VYZULTA</w:t>
      </w:r>
      <w:r w:rsidRPr="00336882">
        <w:rPr>
          <w:rFonts w:cstheme="minorHAnsi"/>
          <w:sz w:val="20"/>
          <w:szCs w:val="20"/>
        </w:rPr>
        <w:t xml:space="preserve"> had a low incidence of hyperemia</w:t>
      </w:r>
    </w:p>
    <w:p w14:paraId="60128620" w14:textId="17135929" w:rsidR="00067BBB" w:rsidRPr="00336882" w:rsidRDefault="00067BBB" w:rsidP="00482953">
      <w:pPr>
        <w:pStyle w:val="ListParagraph"/>
        <w:numPr>
          <w:ilvl w:val="0"/>
          <w:numId w:val="3"/>
        </w:numPr>
        <w:rPr>
          <w:rFonts w:cstheme="minorHAnsi"/>
          <w:sz w:val="20"/>
          <w:szCs w:val="20"/>
        </w:rPr>
      </w:pPr>
      <w:r w:rsidRPr="00336882">
        <w:rPr>
          <w:rFonts w:cstheme="minorHAnsi"/>
          <w:sz w:val="20"/>
          <w:szCs w:val="20"/>
        </w:rPr>
        <w:t>Ocular A</w:t>
      </w:r>
      <w:r w:rsidR="00535E2E" w:rsidRPr="00336882">
        <w:rPr>
          <w:rFonts w:cstheme="minorHAnsi"/>
          <w:sz w:val="20"/>
          <w:szCs w:val="20"/>
        </w:rPr>
        <w:t>E</w:t>
      </w:r>
      <w:r w:rsidRPr="00336882">
        <w:rPr>
          <w:rFonts w:cstheme="minorHAnsi"/>
          <w:sz w:val="20"/>
          <w:szCs w:val="20"/>
        </w:rPr>
        <w:t xml:space="preserve">s occurring in </w:t>
      </w:r>
      <w:r w:rsidR="006C08DE" w:rsidRPr="006C08DE">
        <w:rPr>
          <w:rFonts w:cstheme="minorHAnsi"/>
          <w:sz w:val="20"/>
          <w:szCs w:val="20"/>
        </w:rPr>
        <w:t>≥</w:t>
      </w:r>
      <w:r w:rsidRPr="00336882">
        <w:rPr>
          <w:rFonts w:cstheme="minorHAnsi"/>
          <w:sz w:val="20"/>
          <w:szCs w:val="20"/>
        </w:rPr>
        <w:t>2% of study eyes (safety population) includ</w:t>
      </w:r>
      <w:r w:rsidR="00535E2E" w:rsidRPr="00336882">
        <w:rPr>
          <w:rFonts w:cstheme="minorHAnsi"/>
          <w:sz w:val="20"/>
          <w:szCs w:val="20"/>
        </w:rPr>
        <w:t>ed</w:t>
      </w:r>
      <w:r w:rsidRPr="00336882">
        <w:rPr>
          <w:rFonts w:cstheme="minorHAnsi"/>
          <w:sz w:val="20"/>
          <w:szCs w:val="20"/>
        </w:rPr>
        <w:t xml:space="preserve"> </w:t>
      </w:r>
      <w:r w:rsidR="00D96476" w:rsidRPr="00336882">
        <w:rPr>
          <w:rFonts w:cstheme="minorHAnsi"/>
          <w:sz w:val="20"/>
          <w:szCs w:val="20"/>
        </w:rPr>
        <w:t xml:space="preserve">conjunctival hyperemia (5.9%), eye irritation (4.6%), eye pain (3.6%), ocular hyperemia (2.0%), instillation site pain (2.0%) </w:t>
      </w:r>
    </w:p>
    <w:p w14:paraId="4C228A45" w14:textId="0262CB5B" w:rsidR="00DF4CC5" w:rsidRPr="00336882" w:rsidRDefault="00DF4CC5" w:rsidP="00482953">
      <w:pPr>
        <w:pStyle w:val="ListParagraph"/>
        <w:numPr>
          <w:ilvl w:val="0"/>
          <w:numId w:val="3"/>
        </w:numPr>
        <w:rPr>
          <w:rFonts w:cstheme="minorHAnsi"/>
          <w:sz w:val="20"/>
          <w:szCs w:val="20"/>
        </w:rPr>
      </w:pPr>
      <w:r w:rsidRPr="00336882">
        <w:rPr>
          <w:rFonts w:cstheme="minorHAnsi"/>
          <w:sz w:val="20"/>
          <w:szCs w:val="20"/>
        </w:rPr>
        <w:t>&lt;</w:t>
      </w:r>
      <w:r w:rsidR="00AF7C72" w:rsidRPr="00336882">
        <w:rPr>
          <w:rFonts w:cstheme="minorHAnsi"/>
          <w:sz w:val="20"/>
          <w:szCs w:val="20"/>
        </w:rPr>
        <w:t>1% of patients discontinued due to any ocular AE</w:t>
      </w:r>
    </w:p>
    <w:p w14:paraId="1C664670" w14:textId="77777777" w:rsidR="00263016" w:rsidRPr="00336882" w:rsidRDefault="00263016" w:rsidP="00263016">
      <w:pPr>
        <w:rPr>
          <w:rFonts w:cstheme="minorHAnsi"/>
          <w:sz w:val="20"/>
          <w:szCs w:val="20"/>
        </w:rPr>
      </w:pPr>
    </w:p>
    <w:p w14:paraId="56D25720" w14:textId="0FD44095" w:rsidR="00EF4A7F" w:rsidRPr="00336882" w:rsidRDefault="00263016" w:rsidP="00EF4A7F">
      <w:pPr>
        <w:rPr>
          <w:rFonts w:cstheme="minorHAnsi"/>
          <w:sz w:val="20"/>
          <w:szCs w:val="20"/>
        </w:rPr>
      </w:pPr>
      <w:r w:rsidRPr="00336882">
        <w:rPr>
          <w:rFonts w:cstheme="minorHAnsi"/>
          <w:sz w:val="20"/>
          <w:szCs w:val="20"/>
        </w:rPr>
        <w:lastRenderedPageBreak/>
        <w:t xml:space="preserve">Summary of Patient’s History </w:t>
      </w:r>
      <w:r w:rsidRPr="00336882">
        <w:rPr>
          <w:rFonts w:cstheme="minorHAnsi"/>
          <w:b/>
          <w:bCs/>
          <w:sz w:val="20"/>
          <w:szCs w:val="20"/>
        </w:rPr>
        <w:t>[</w:t>
      </w:r>
      <w:r w:rsidR="00CA6705" w:rsidRPr="00336882">
        <w:rPr>
          <w:rFonts w:cstheme="minorHAnsi"/>
          <w:b/>
          <w:bCs/>
          <w:sz w:val="20"/>
          <w:szCs w:val="20"/>
        </w:rPr>
        <w:t xml:space="preserve">NOTE: Exercise </w:t>
      </w:r>
      <w:r w:rsidR="00EF4A7F" w:rsidRPr="00336882">
        <w:rPr>
          <w:rFonts w:cstheme="minorHAnsi"/>
          <w:b/>
          <w:bCs/>
          <w:sz w:val="20"/>
          <w:szCs w:val="20"/>
        </w:rPr>
        <w:t xml:space="preserve">your medical judgement and discretion when characterizing the patient’s medical condition. </w:t>
      </w:r>
      <w:r w:rsidRPr="00336882">
        <w:rPr>
          <w:rFonts w:cstheme="minorHAnsi"/>
          <w:b/>
          <w:bCs/>
          <w:sz w:val="20"/>
          <w:szCs w:val="20"/>
        </w:rPr>
        <w:t>You may want to include</w:t>
      </w:r>
      <w:r w:rsidR="00EF4A7F" w:rsidRPr="00FE4C71">
        <w:rPr>
          <w:rFonts w:cstheme="minorHAnsi"/>
          <w:b/>
          <w:bCs/>
          <w:sz w:val="20"/>
          <w:szCs w:val="20"/>
        </w:rPr>
        <w:t>:</w:t>
      </w:r>
    </w:p>
    <w:p w14:paraId="762F6A54" w14:textId="5CBE5E15" w:rsidR="00EF4A7F" w:rsidRPr="00FE4C71" w:rsidRDefault="00FE27F0" w:rsidP="00EF4A7F">
      <w:pPr>
        <w:pStyle w:val="ListParagraph"/>
        <w:numPr>
          <w:ilvl w:val="0"/>
          <w:numId w:val="4"/>
        </w:numPr>
        <w:rPr>
          <w:rFonts w:cstheme="minorHAnsi"/>
          <w:b/>
          <w:bCs/>
          <w:sz w:val="20"/>
          <w:szCs w:val="20"/>
        </w:rPr>
      </w:pPr>
      <w:r w:rsidRPr="00FE4C71">
        <w:rPr>
          <w:rFonts w:cstheme="minorHAnsi"/>
          <w:b/>
          <w:bCs/>
          <w:sz w:val="20"/>
          <w:szCs w:val="20"/>
        </w:rPr>
        <w:t>Patient’s condition</w:t>
      </w:r>
      <w:r w:rsidR="0089288B" w:rsidRPr="00FE4C71">
        <w:rPr>
          <w:rFonts w:cstheme="minorHAnsi"/>
          <w:b/>
          <w:bCs/>
          <w:sz w:val="20"/>
          <w:szCs w:val="20"/>
        </w:rPr>
        <w:t xml:space="preserve">, symptoms, </w:t>
      </w:r>
      <w:r w:rsidRPr="00FE4C71">
        <w:rPr>
          <w:rFonts w:cstheme="minorHAnsi"/>
          <w:b/>
          <w:bCs/>
          <w:sz w:val="20"/>
          <w:szCs w:val="20"/>
        </w:rPr>
        <w:t>and history</w:t>
      </w:r>
    </w:p>
    <w:p w14:paraId="236076CE" w14:textId="5A4B44A5" w:rsidR="00FE27F0" w:rsidRPr="00FE4C71" w:rsidRDefault="00FE27F0" w:rsidP="00EF4A7F">
      <w:pPr>
        <w:pStyle w:val="ListParagraph"/>
        <w:numPr>
          <w:ilvl w:val="0"/>
          <w:numId w:val="4"/>
        </w:numPr>
        <w:rPr>
          <w:rFonts w:cstheme="minorHAnsi"/>
          <w:b/>
          <w:bCs/>
          <w:sz w:val="20"/>
          <w:szCs w:val="20"/>
        </w:rPr>
      </w:pPr>
      <w:r w:rsidRPr="00FE4C71">
        <w:rPr>
          <w:rFonts w:cstheme="minorHAnsi"/>
          <w:b/>
          <w:bCs/>
          <w:sz w:val="20"/>
          <w:szCs w:val="20"/>
        </w:rPr>
        <w:t xml:space="preserve">Previous </w:t>
      </w:r>
      <w:r w:rsidR="00B024A0" w:rsidRPr="00FE4C71">
        <w:rPr>
          <w:rFonts w:cstheme="minorHAnsi"/>
          <w:b/>
          <w:bCs/>
          <w:sz w:val="20"/>
          <w:szCs w:val="20"/>
        </w:rPr>
        <w:t xml:space="preserve">therapies </w:t>
      </w:r>
      <w:r w:rsidR="00585DBC" w:rsidRPr="00FE4C71">
        <w:rPr>
          <w:rFonts w:cstheme="minorHAnsi"/>
          <w:b/>
          <w:bCs/>
          <w:sz w:val="20"/>
          <w:szCs w:val="20"/>
        </w:rPr>
        <w:t>the patient has undergone</w:t>
      </w:r>
    </w:p>
    <w:p w14:paraId="3FB2E106" w14:textId="7476E9FE" w:rsidR="00585DBC" w:rsidRPr="00FE4C71" w:rsidRDefault="00585DBC" w:rsidP="00EF4A7F">
      <w:pPr>
        <w:pStyle w:val="ListParagraph"/>
        <w:numPr>
          <w:ilvl w:val="0"/>
          <w:numId w:val="4"/>
        </w:numPr>
        <w:rPr>
          <w:rFonts w:cstheme="minorHAnsi"/>
          <w:b/>
          <w:bCs/>
          <w:sz w:val="20"/>
          <w:szCs w:val="20"/>
        </w:rPr>
      </w:pPr>
      <w:r w:rsidRPr="00FE4C71">
        <w:rPr>
          <w:rFonts w:cstheme="minorHAnsi"/>
          <w:b/>
          <w:bCs/>
          <w:sz w:val="20"/>
          <w:szCs w:val="20"/>
        </w:rPr>
        <w:t>Patient’s response to these therapies</w:t>
      </w:r>
    </w:p>
    <w:p w14:paraId="665796A5" w14:textId="27A569B0" w:rsidR="00752763" w:rsidRPr="00FE4C71" w:rsidRDefault="0089288B" w:rsidP="00752763">
      <w:pPr>
        <w:pStyle w:val="ListParagraph"/>
        <w:numPr>
          <w:ilvl w:val="0"/>
          <w:numId w:val="4"/>
        </w:numPr>
        <w:rPr>
          <w:rFonts w:cstheme="minorHAnsi"/>
          <w:b/>
          <w:bCs/>
          <w:sz w:val="20"/>
          <w:szCs w:val="20"/>
        </w:rPr>
      </w:pPr>
      <w:r w:rsidRPr="00FE4C71">
        <w:rPr>
          <w:rFonts w:cstheme="minorHAnsi"/>
          <w:b/>
          <w:bCs/>
          <w:sz w:val="20"/>
          <w:szCs w:val="20"/>
        </w:rPr>
        <w:t xml:space="preserve">Summary of your professional </w:t>
      </w:r>
      <w:r w:rsidR="002D3C58" w:rsidRPr="00FE4C71">
        <w:rPr>
          <w:rFonts w:cstheme="minorHAnsi"/>
          <w:b/>
          <w:bCs/>
          <w:sz w:val="20"/>
          <w:szCs w:val="20"/>
        </w:rPr>
        <w:t xml:space="preserve">opinion of patients’ </w:t>
      </w:r>
      <w:proofErr w:type="gramStart"/>
      <w:r w:rsidR="002D3C58" w:rsidRPr="00FE4C71">
        <w:rPr>
          <w:rFonts w:cstheme="minorHAnsi"/>
          <w:b/>
          <w:bCs/>
          <w:sz w:val="20"/>
          <w:szCs w:val="20"/>
        </w:rPr>
        <w:t>likely prognosis</w:t>
      </w:r>
      <w:proofErr w:type="gramEnd"/>
      <w:r w:rsidR="002D3C58" w:rsidRPr="00FE4C71">
        <w:rPr>
          <w:rFonts w:cstheme="minorHAnsi"/>
          <w:b/>
          <w:bCs/>
          <w:sz w:val="20"/>
          <w:szCs w:val="20"/>
        </w:rPr>
        <w:t xml:space="preserve"> of disease progression </w:t>
      </w:r>
      <w:r w:rsidR="00845334" w:rsidRPr="00FE4C71">
        <w:rPr>
          <w:rFonts w:cstheme="minorHAnsi"/>
          <w:b/>
          <w:bCs/>
          <w:sz w:val="20"/>
          <w:szCs w:val="20"/>
        </w:rPr>
        <w:t>without</w:t>
      </w:r>
      <w:r w:rsidR="00FE4C71">
        <w:rPr>
          <w:rFonts w:cstheme="minorHAnsi"/>
          <w:b/>
          <w:bCs/>
          <w:sz w:val="20"/>
          <w:szCs w:val="20"/>
        </w:rPr>
        <w:t xml:space="preserve"> or </w:t>
      </w:r>
      <w:r w:rsidR="00364EDA" w:rsidRPr="00FE4C71">
        <w:rPr>
          <w:rFonts w:cstheme="minorHAnsi"/>
          <w:b/>
          <w:bCs/>
          <w:sz w:val="20"/>
          <w:szCs w:val="20"/>
        </w:rPr>
        <w:t>if</w:t>
      </w:r>
      <w:r w:rsidR="00845334" w:rsidRPr="00FE4C71">
        <w:rPr>
          <w:rFonts w:cstheme="minorHAnsi"/>
          <w:b/>
          <w:bCs/>
          <w:sz w:val="20"/>
          <w:szCs w:val="20"/>
        </w:rPr>
        <w:t xml:space="preserve"> discontinued from</w:t>
      </w:r>
      <w:r w:rsidR="002D3C58" w:rsidRPr="00FE4C71">
        <w:rPr>
          <w:rFonts w:cstheme="minorHAnsi"/>
          <w:b/>
          <w:bCs/>
          <w:sz w:val="20"/>
          <w:szCs w:val="20"/>
        </w:rPr>
        <w:t xml:space="preserve"> treatment with </w:t>
      </w:r>
      <w:r w:rsidR="009D7042" w:rsidRPr="00FE4C71">
        <w:rPr>
          <w:rFonts w:cstheme="minorHAnsi"/>
          <w:b/>
          <w:bCs/>
          <w:sz w:val="20"/>
          <w:szCs w:val="20"/>
        </w:rPr>
        <w:t>VYZULTA</w:t>
      </w:r>
      <w:r w:rsidR="00FE4C71" w:rsidRPr="00FE4C71">
        <w:rPr>
          <w:rFonts w:cstheme="minorHAnsi"/>
          <w:b/>
          <w:bCs/>
          <w:sz w:val="20"/>
          <w:szCs w:val="20"/>
        </w:rPr>
        <w:t>]</w:t>
      </w:r>
    </w:p>
    <w:p w14:paraId="497B4D9D" w14:textId="5C503B28" w:rsidR="00B07422" w:rsidRPr="00336882" w:rsidRDefault="00B07422" w:rsidP="00263016">
      <w:pPr>
        <w:rPr>
          <w:rFonts w:cstheme="minorHAnsi"/>
          <w:sz w:val="20"/>
          <w:szCs w:val="20"/>
        </w:rPr>
      </w:pPr>
      <w:r w:rsidRPr="00336882">
        <w:rPr>
          <w:rFonts w:cstheme="minorHAnsi"/>
          <w:sz w:val="20"/>
          <w:szCs w:val="20"/>
        </w:rPr>
        <w:t>Based on the</w:t>
      </w:r>
      <w:r w:rsidR="000D506A" w:rsidRPr="00336882">
        <w:rPr>
          <w:rFonts w:cstheme="minorHAnsi"/>
          <w:sz w:val="20"/>
          <w:szCs w:val="20"/>
        </w:rPr>
        <w:t xml:space="preserve"> above clinical details</w:t>
      </w:r>
      <w:r w:rsidR="006C08DE">
        <w:rPr>
          <w:rFonts w:cstheme="minorHAnsi"/>
          <w:sz w:val="20"/>
          <w:szCs w:val="20"/>
        </w:rPr>
        <w:t>,</w:t>
      </w:r>
      <w:r w:rsidR="000D506A" w:rsidRPr="00336882">
        <w:rPr>
          <w:rFonts w:cstheme="minorHAnsi"/>
          <w:sz w:val="20"/>
          <w:szCs w:val="20"/>
        </w:rPr>
        <w:t xml:space="preserve"> I am confident that you will agree that </w:t>
      </w:r>
      <w:r w:rsidR="009D7042">
        <w:rPr>
          <w:rFonts w:cstheme="minorHAnsi"/>
          <w:sz w:val="20"/>
          <w:szCs w:val="20"/>
        </w:rPr>
        <w:t>VYZULTA</w:t>
      </w:r>
      <w:r w:rsidR="000D506A" w:rsidRPr="00336882">
        <w:rPr>
          <w:rFonts w:cstheme="minorHAnsi"/>
          <w:sz w:val="20"/>
          <w:szCs w:val="20"/>
        </w:rPr>
        <w:t xml:space="preserve"> is medically necessary for this patient. On behalf of </w:t>
      </w:r>
      <w:r w:rsidR="000D506A" w:rsidRPr="00336882">
        <w:rPr>
          <w:rFonts w:cstheme="minorHAnsi"/>
          <w:b/>
          <w:bCs/>
          <w:sz w:val="20"/>
          <w:szCs w:val="20"/>
        </w:rPr>
        <w:t>[Patient name]</w:t>
      </w:r>
      <w:r w:rsidR="00FE4C71" w:rsidRPr="00FE4C71">
        <w:rPr>
          <w:rFonts w:cstheme="minorHAnsi"/>
          <w:sz w:val="20"/>
          <w:szCs w:val="20"/>
        </w:rPr>
        <w:t>,</w:t>
      </w:r>
      <w:r w:rsidR="000D506A" w:rsidRPr="00336882">
        <w:rPr>
          <w:rFonts w:cstheme="minorHAnsi"/>
          <w:sz w:val="20"/>
          <w:szCs w:val="20"/>
        </w:rPr>
        <w:t xml:space="preserve"> I am requesting approval for use and coverage for </w:t>
      </w:r>
      <w:r w:rsidR="009D7042">
        <w:rPr>
          <w:rFonts w:cstheme="minorHAnsi"/>
          <w:sz w:val="20"/>
          <w:szCs w:val="20"/>
        </w:rPr>
        <w:t>VYZULTA</w:t>
      </w:r>
      <w:r w:rsidR="000D506A" w:rsidRPr="00336882">
        <w:rPr>
          <w:rFonts w:cstheme="minorHAnsi"/>
          <w:sz w:val="20"/>
          <w:szCs w:val="20"/>
        </w:rPr>
        <w:t xml:space="preserve">. If you have any further questions regarding this matter, please do not hesitate to call me at </w:t>
      </w:r>
      <w:r w:rsidR="000D506A" w:rsidRPr="00336882">
        <w:rPr>
          <w:rFonts w:cstheme="minorHAnsi"/>
          <w:b/>
          <w:bCs/>
          <w:sz w:val="20"/>
          <w:szCs w:val="20"/>
        </w:rPr>
        <w:t>[</w:t>
      </w:r>
      <w:r w:rsidR="00595355" w:rsidRPr="00336882">
        <w:rPr>
          <w:rFonts w:cstheme="minorHAnsi"/>
          <w:b/>
          <w:bCs/>
          <w:sz w:val="20"/>
          <w:szCs w:val="20"/>
        </w:rPr>
        <w:t xml:space="preserve">Physician telephone </w:t>
      </w:r>
      <w:r w:rsidR="0037366E" w:rsidRPr="00336882">
        <w:rPr>
          <w:rFonts w:cstheme="minorHAnsi"/>
          <w:b/>
          <w:bCs/>
          <w:sz w:val="20"/>
          <w:szCs w:val="20"/>
        </w:rPr>
        <w:t>number</w:t>
      </w:r>
      <w:r w:rsidR="000D506A" w:rsidRPr="00336882">
        <w:rPr>
          <w:rFonts w:cstheme="minorHAnsi"/>
          <w:b/>
          <w:bCs/>
          <w:sz w:val="20"/>
          <w:szCs w:val="20"/>
        </w:rPr>
        <w:t>]</w:t>
      </w:r>
      <w:r w:rsidR="000D506A" w:rsidRPr="00336882">
        <w:rPr>
          <w:rFonts w:cstheme="minorHAnsi"/>
          <w:sz w:val="20"/>
          <w:szCs w:val="20"/>
        </w:rPr>
        <w:t>.</w:t>
      </w:r>
      <w:r w:rsidR="00595355" w:rsidRPr="00336882">
        <w:rPr>
          <w:rFonts w:cstheme="minorHAnsi"/>
          <w:sz w:val="20"/>
          <w:szCs w:val="20"/>
        </w:rPr>
        <w:t xml:space="preserve"> </w:t>
      </w:r>
      <w:r w:rsidR="000D506A" w:rsidRPr="00336882">
        <w:rPr>
          <w:rFonts w:cstheme="minorHAnsi"/>
          <w:sz w:val="20"/>
          <w:szCs w:val="20"/>
        </w:rPr>
        <w:t>Thank you for your prompt attention to this matter.</w:t>
      </w:r>
    </w:p>
    <w:p w14:paraId="4EDDD440" w14:textId="3F55E090" w:rsidR="00563BF1" w:rsidRPr="00336882" w:rsidRDefault="00563BF1" w:rsidP="00263016">
      <w:pPr>
        <w:rPr>
          <w:rFonts w:cstheme="minorHAnsi"/>
          <w:sz w:val="20"/>
          <w:szCs w:val="20"/>
        </w:rPr>
      </w:pPr>
      <w:r w:rsidRPr="00336882">
        <w:rPr>
          <w:rFonts w:cstheme="minorHAnsi"/>
          <w:sz w:val="20"/>
          <w:szCs w:val="20"/>
        </w:rPr>
        <w:t>Sincerely,</w:t>
      </w:r>
    </w:p>
    <w:p w14:paraId="5422BD9A" w14:textId="7BD46A49" w:rsidR="00563BF1" w:rsidRPr="00336882" w:rsidRDefault="00563BF1" w:rsidP="00263016">
      <w:pPr>
        <w:rPr>
          <w:rFonts w:cstheme="minorHAnsi"/>
          <w:sz w:val="20"/>
          <w:szCs w:val="20"/>
        </w:rPr>
      </w:pPr>
      <w:r w:rsidRPr="00336882">
        <w:rPr>
          <w:rFonts w:cstheme="minorHAnsi"/>
          <w:b/>
          <w:bCs/>
          <w:sz w:val="20"/>
          <w:szCs w:val="20"/>
        </w:rPr>
        <w:t>[Physician name]</w:t>
      </w:r>
      <w:r w:rsidRPr="00336882">
        <w:rPr>
          <w:rFonts w:cstheme="minorHAnsi"/>
          <w:sz w:val="20"/>
          <w:szCs w:val="20"/>
        </w:rPr>
        <w:t xml:space="preserve">, </w:t>
      </w:r>
      <w:r w:rsidRPr="00336882">
        <w:rPr>
          <w:rFonts w:cstheme="minorHAnsi"/>
          <w:b/>
          <w:bCs/>
          <w:sz w:val="20"/>
          <w:szCs w:val="20"/>
        </w:rPr>
        <w:t xml:space="preserve">[Degree </w:t>
      </w:r>
      <w:r w:rsidR="0037366E" w:rsidRPr="00336882">
        <w:rPr>
          <w:rFonts w:cstheme="minorHAnsi"/>
          <w:b/>
          <w:bCs/>
          <w:sz w:val="20"/>
          <w:szCs w:val="20"/>
        </w:rPr>
        <w:t>i</w:t>
      </w:r>
      <w:r w:rsidRPr="00336882">
        <w:rPr>
          <w:rFonts w:cstheme="minorHAnsi"/>
          <w:b/>
          <w:bCs/>
          <w:sz w:val="20"/>
          <w:szCs w:val="20"/>
        </w:rPr>
        <w:t>ni</w:t>
      </w:r>
      <w:r w:rsidR="0037366E" w:rsidRPr="00336882">
        <w:rPr>
          <w:rFonts w:cstheme="minorHAnsi"/>
          <w:b/>
          <w:bCs/>
          <w:sz w:val="20"/>
          <w:szCs w:val="20"/>
        </w:rPr>
        <w:t>tials</w:t>
      </w:r>
      <w:r w:rsidRPr="00336882">
        <w:rPr>
          <w:rFonts w:cstheme="minorHAnsi"/>
          <w:b/>
          <w:bCs/>
          <w:sz w:val="20"/>
          <w:szCs w:val="20"/>
        </w:rPr>
        <w:t>]</w:t>
      </w:r>
    </w:p>
    <w:p w14:paraId="4D99CFD9" w14:textId="2C1E02D0" w:rsidR="004E5F67" w:rsidRPr="00336882" w:rsidRDefault="0037366E" w:rsidP="00263016">
      <w:pPr>
        <w:rPr>
          <w:rFonts w:cstheme="minorHAnsi"/>
          <w:b/>
          <w:bCs/>
          <w:sz w:val="20"/>
          <w:szCs w:val="20"/>
        </w:rPr>
      </w:pPr>
      <w:r w:rsidRPr="00336882">
        <w:rPr>
          <w:rFonts w:cstheme="minorHAnsi"/>
          <w:b/>
          <w:bCs/>
          <w:sz w:val="20"/>
          <w:szCs w:val="20"/>
        </w:rPr>
        <w:t>[Provider identification number]</w:t>
      </w:r>
    </w:p>
    <w:p w14:paraId="33343CAD" w14:textId="77777777" w:rsidR="004E5F67" w:rsidRPr="00336882" w:rsidRDefault="004E5F67" w:rsidP="004E5F67">
      <w:pPr>
        <w:pStyle w:val="Default"/>
        <w:ind w:left="-180"/>
        <w:rPr>
          <w:rFonts w:asciiTheme="minorHAnsi" w:hAnsiTheme="minorHAnsi" w:cstheme="minorHAnsi"/>
          <w:b/>
          <w:sz w:val="20"/>
          <w:szCs w:val="20"/>
        </w:rPr>
      </w:pPr>
      <w:r w:rsidRPr="00336882">
        <w:rPr>
          <w:rFonts w:asciiTheme="minorHAnsi" w:hAnsiTheme="minorHAnsi" w:cstheme="minorHAnsi"/>
          <w:b/>
          <w:bCs/>
          <w:sz w:val="20"/>
          <w:szCs w:val="20"/>
        </w:rPr>
        <w:t>INDICATION</w:t>
      </w:r>
    </w:p>
    <w:p w14:paraId="76088AAB" w14:textId="50209692" w:rsidR="004E5F67" w:rsidRPr="00336882" w:rsidRDefault="009D7042" w:rsidP="00EC4D27">
      <w:pPr>
        <w:pStyle w:val="Default"/>
        <w:rPr>
          <w:rFonts w:asciiTheme="minorHAnsi" w:hAnsiTheme="minorHAnsi" w:cstheme="minorHAnsi"/>
          <w:bCs/>
          <w:sz w:val="20"/>
          <w:szCs w:val="20"/>
        </w:rPr>
      </w:pPr>
      <w:r>
        <w:rPr>
          <w:rFonts w:asciiTheme="minorHAnsi" w:hAnsiTheme="minorHAnsi" w:cstheme="minorHAnsi"/>
          <w:bCs/>
          <w:sz w:val="20"/>
          <w:szCs w:val="20"/>
        </w:rPr>
        <w:t>VYZULTA</w:t>
      </w:r>
      <w:r w:rsidR="004E5F67" w:rsidRPr="00336882">
        <w:rPr>
          <w:rFonts w:asciiTheme="minorHAnsi" w:hAnsiTheme="minorHAnsi" w:cstheme="minorHAnsi"/>
          <w:bCs/>
          <w:sz w:val="20"/>
          <w:szCs w:val="20"/>
          <w:vertAlign w:val="superscript"/>
        </w:rPr>
        <w:t>®</w:t>
      </w:r>
      <w:r w:rsidR="004E5F67" w:rsidRPr="00336882">
        <w:rPr>
          <w:rFonts w:asciiTheme="minorHAnsi" w:hAnsiTheme="minorHAnsi" w:cstheme="minorHAnsi"/>
          <w:bCs/>
          <w:sz w:val="20"/>
          <w:szCs w:val="20"/>
        </w:rPr>
        <w:t xml:space="preserve"> (latanoprostene bunod ophthalmic solution), 0.024% </w:t>
      </w:r>
      <w:proofErr w:type="gramStart"/>
      <w:r w:rsidR="004E5F67" w:rsidRPr="00336882">
        <w:rPr>
          <w:rFonts w:asciiTheme="minorHAnsi" w:hAnsiTheme="minorHAnsi" w:cstheme="minorHAnsi"/>
          <w:bCs/>
          <w:sz w:val="20"/>
          <w:szCs w:val="20"/>
        </w:rPr>
        <w:t>is indicated</w:t>
      </w:r>
      <w:proofErr w:type="gramEnd"/>
      <w:r w:rsidR="004E5F67" w:rsidRPr="00336882">
        <w:rPr>
          <w:rFonts w:asciiTheme="minorHAnsi" w:hAnsiTheme="minorHAnsi" w:cstheme="minorHAnsi"/>
          <w:bCs/>
          <w:sz w:val="20"/>
          <w:szCs w:val="20"/>
        </w:rPr>
        <w:t xml:space="preserve"> for the reduction of intraocular pressure (IOP) in patients with open-angle glaucoma or ocular hypertension.</w:t>
      </w:r>
    </w:p>
    <w:p w14:paraId="40BCA973" w14:textId="77777777" w:rsidR="004E5F67" w:rsidRPr="00336882" w:rsidRDefault="004E5F67" w:rsidP="004E5F67">
      <w:pPr>
        <w:pStyle w:val="Default"/>
        <w:ind w:left="720"/>
        <w:rPr>
          <w:rFonts w:asciiTheme="minorHAnsi" w:hAnsiTheme="minorHAnsi" w:cstheme="minorHAnsi"/>
          <w:bCs/>
          <w:sz w:val="20"/>
          <w:szCs w:val="20"/>
        </w:rPr>
      </w:pPr>
    </w:p>
    <w:p w14:paraId="20BD66D6" w14:textId="77777777" w:rsidR="004E5F67" w:rsidRPr="00336882" w:rsidRDefault="004E5F67" w:rsidP="004E5F67">
      <w:pPr>
        <w:pStyle w:val="Default"/>
        <w:ind w:left="-180"/>
        <w:rPr>
          <w:rFonts w:asciiTheme="minorHAnsi" w:hAnsiTheme="minorHAnsi" w:cstheme="minorHAnsi"/>
          <w:b/>
          <w:sz w:val="20"/>
          <w:szCs w:val="20"/>
        </w:rPr>
      </w:pPr>
      <w:r w:rsidRPr="00336882">
        <w:rPr>
          <w:rFonts w:asciiTheme="minorHAnsi" w:hAnsiTheme="minorHAnsi" w:cstheme="minorHAnsi"/>
          <w:b/>
          <w:bCs/>
          <w:sz w:val="20"/>
          <w:szCs w:val="20"/>
        </w:rPr>
        <w:t>IMPORTANT SAFETY INFORMATION</w:t>
      </w:r>
    </w:p>
    <w:p w14:paraId="1D1EF337" w14:textId="77777777" w:rsidR="004E5F67" w:rsidRPr="00336882" w:rsidRDefault="004E5F67" w:rsidP="004E5F67">
      <w:pPr>
        <w:pStyle w:val="Default"/>
        <w:numPr>
          <w:ilvl w:val="0"/>
          <w:numId w:val="6"/>
        </w:numPr>
        <w:rPr>
          <w:rFonts w:asciiTheme="minorHAnsi" w:hAnsiTheme="minorHAnsi" w:cstheme="minorHAnsi"/>
          <w:bCs/>
          <w:sz w:val="20"/>
          <w:szCs w:val="20"/>
        </w:rPr>
      </w:pPr>
      <w:r w:rsidRPr="00336882">
        <w:rPr>
          <w:rFonts w:asciiTheme="minorHAnsi" w:hAnsiTheme="minorHAnsi" w:cstheme="minorHAnsi"/>
          <w:bCs/>
          <w:sz w:val="20"/>
          <w:szCs w:val="20"/>
        </w:rPr>
        <w:t>Increased pigmentation of the iris and periorbital tissue (eyelid) can occur. Iris pigmentation is likely to be permanent</w:t>
      </w:r>
    </w:p>
    <w:p w14:paraId="476545CB" w14:textId="77777777" w:rsidR="004E5F67" w:rsidRPr="00336882" w:rsidRDefault="004E5F67" w:rsidP="004E5F67">
      <w:pPr>
        <w:pStyle w:val="Default"/>
        <w:numPr>
          <w:ilvl w:val="0"/>
          <w:numId w:val="6"/>
        </w:numPr>
        <w:rPr>
          <w:rFonts w:asciiTheme="minorHAnsi" w:hAnsiTheme="minorHAnsi" w:cstheme="minorHAnsi"/>
          <w:bCs/>
          <w:sz w:val="20"/>
          <w:szCs w:val="20"/>
        </w:rPr>
      </w:pPr>
      <w:r w:rsidRPr="00336882">
        <w:rPr>
          <w:rFonts w:asciiTheme="minorHAnsi" w:hAnsiTheme="minorHAnsi" w:cstheme="minorHAnsi"/>
          <w:bCs/>
          <w:sz w:val="20"/>
          <w:szCs w:val="20"/>
        </w:rPr>
        <w:t>Gradual changes to eyelashes, including increased length, increased thickness, and number of eyelashes, may occur. These changes are usually reversible upon treatment discontinuation</w:t>
      </w:r>
    </w:p>
    <w:p w14:paraId="13335B29" w14:textId="02E3C895" w:rsidR="004E5F67" w:rsidRPr="00336882" w:rsidRDefault="004E5F67" w:rsidP="004E5F67">
      <w:pPr>
        <w:pStyle w:val="Default"/>
        <w:numPr>
          <w:ilvl w:val="0"/>
          <w:numId w:val="6"/>
        </w:numPr>
        <w:rPr>
          <w:rFonts w:asciiTheme="minorHAnsi" w:hAnsiTheme="minorHAnsi" w:cstheme="minorHAnsi"/>
          <w:bCs/>
          <w:sz w:val="20"/>
          <w:szCs w:val="20"/>
        </w:rPr>
      </w:pPr>
      <w:r w:rsidRPr="00336882">
        <w:rPr>
          <w:rFonts w:asciiTheme="minorHAnsi" w:hAnsiTheme="minorHAnsi" w:cstheme="minorHAnsi"/>
          <w:bCs/>
          <w:sz w:val="20"/>
          <w:szCs w:val="20"/>
        </w:rPr>
        <w:t xml:space="preserve">Use with caution in patients with a history of intraocular inflammation (iritis/uveitis). </w:t>
      </w:r>
      <w:r w:rsidR="009D7042">
        <w:rPr>
          <w:rFonts w:asciiTheme="minorHAnsi" w:hAnsiTheme="minorHAnsi" w:cstheme="minorHAnsi"/>
          <w:bCs/>
          <w:sz w:val="20"/>
          <w:szCs w:val="20"/>
        </w:rPr>
        <w:t>VYZULTA</w:t>
      </w:r>
      <w:r w:rsidRPr="00336882">
        <w:rPr>
          <w:rFonts w:asciiTheme="minorHAnsi" w:hAnsiTheme="minorHAnsi" w:cstheme="minorHAnsi"/>
          <w:bCs/>
          <w:sz w:val="20"/>
          <w:szCs w:val="20"/>
        </w:rPr>
        <w:t xml:space="preserve"> should </w:t>
      </w:r>
      <w:proofErr w:type="gramStart"/>
      <w:r w:rsidRPr="00336882">
        <w:rPr>
          <w:rFonts w:asciiTheme="minorHAnsi" w:hAnsiTheme="minorHAnsi" w:cstheme="minorHAnsi"/>
          <w:bCs/>
          <w:sz w:val="20"/>
          <w:szCs w:val="20"/>
        </w:rPr>
        <w:t>generally not</w:t>
      </w:r>
      <w:proofErr w:type="gramEnd"/>
      <w:r w:rsidRPr="00336882">
        <w:rPr>
          <w:rFonts w:asciiTheme="minorHAnsi" w:hAnsiTheme="minorHAnsi" w:cstheme="minorHAnsi"/>
          <w:bCs/>
          <w:sz w:val="20"/>
          <w:szCs w:val="20"/>
        </w:rPr>
        <w:t xml:space="preserve"> be used in patients with active intraocular inflammation</w:t>
      </w:r>
    </w:p>
    <w:p w14:paraId="343CE247" w14:textId="77777777" w:rsidR="004E5F67" w:rsidRPr="00336882" w:rsidRDefault="004E5F67" w:rsidP="004E5F67">
      <w:pPr>
        <w:pStyle w:val="Default"/>
        <w:numPr>
          <w:ilvl w:val="0"/>
          <w:numId w:val="6"/>
        </w:numPr>
        <w:rPr>
          <w:rFonts w:asciiTheme="minorHAnsi" w:hAnsiTheme="minorHAnsi" w:cstheme="minorHAnsi"/>
          <w:bCs/>
          <w:sz w:val="20"/>
          <w:szCs w:val="20"/>
        </w:rPr>
      </w:pPr>
      <w:r w:rsidRPr="00336882">
        <w:rPr>
          <w:rFonts w:asciiTheme="minorHAnsi" w:hAnsiTheme="minorHAnsi" w:cstheme="minorHAnsi"/>
          <w:bCs/>
          <w:sz w:val="20"/>
          <w:szCs w:val="20"/>
        </w:rPr>
        <w:t xml:space="preserve">Macular edema, including cystoid macular edema, has </w:t>
      </w:r>
      <w:proofErr w:type="gramStart"/>
      <w:r w:rsidRPr="00336882">
        <w:rPr>
          <w:rFonts w:asciiTheme="minorHAnsi" w:hAnsiTheme="minorHAnsi" w:cstheme="minorHAnsi"/>
          <w:bCs/>
          <w:sz w:val="20"/>
          <w:szCs w:val="20"/>
        </w:rPr>
        <w:t>been reported</w:t>
      </w:r>
      <w:proofErr w:type="gramEnd"/>
      <w:r w:rsidRPr="00336882">
        <w:rPr>
          <w:rFonts w:asciiTheme="minorHAnsi" w:hAnsiTheme="minorHAnsi" w:cstheme="minorHAnsi"/>
          <w:bCs/>
          <w:sz w:val="20"/>
          <w:szCs w:val="20"/>
        </w:rPr>
        <w:t xml:space="preserve"> during treatment with prostaglandin analogs. Use with caution in aphakic patients, in pseudophakic patients with a torn posterior lens capsule, or in patients with known risk factors for macular edema</w:t>
      </w:r>
    </w:p>
    <w:p w14:paraId="1EC181FB" w14:textId="77777777" w:rsidR="004E5F67" w:rsidRPr="00336882" w:rsidRDefault="004E5F67" w:rsidP="004E5F67">
      <w:pPr>
        <w:pStyle w:val="Default"/>
        <w:numPr>
          <w:ilvl w:val="0"/>
          <w:numId w:val="6"/>
        </w:numPr>
        <w:rPr>
          <w:rFonts w:asciiTheme="minorHAnsi" w:hAnsiTheme="minorHAnsi" w:cstheme="minorHAnsi"/>
          <w:bCs/>
          <w:sz w:val="20"/>
          <w:szCs w:val="20"/>
        </w:rPr>
      </w:pPr>
      <w:r w:rsidRPr="00336882">
        <w:rPr>
          <w:rFonts w:asciiTheme="minorHAnsi" w:hAnsiTheme="minorHAnsi" w:cstheme="minorHAnsi"/>
          <w:bCs/>
          <w:sz w:val="20"/>
          <w:szCs w:val="20"/>
        </w:rPr>
        <w:t xml:space="preserve">There have been reports of bacterial keratitis associated with the use of multiple-dose containers of topical ophthalmic products that </w:t>
      </w:r>
      <w:proofErr w:type="gramStart"/>
      <w:r w:rsidRPr="00336882">
        <w:rPr>
          <w:rFonts w:asciiTheme="minorHAnsi" w:hAnsiTheme="minorHAnsi" w:cstheme="minorHAnsi"/>
          <w:bCs/>
          <w:sz w:val="20"/>
          <w:szCs w:val="20"/>
        </w:rPr>
        <w:t>were inadvertently contaminated</w:t>
      </w:r>
      <w:proofErr w:type="gramEnd"/>
      <w:r w:rsidRPr="00336882">
        <w:rPr>
          <w:rFonts w:asciiTheme="minorHAnsi" w:hAnsiTheme="minorHAnsi" w:cstheme="minorHAnsi"/>
          <w:bCs/>
          <w:sz w:val="20"/>
          <w:szCs w:val="20"/>
        </w:rPr>
        <w:t xml:space="preserve"> by patients</w:t>
      </w:r>
    </w:p>
    <w:p w14:paraId="00A438E7" w14:textId="537E46ED" w:rsidR="004E5F67" w:rsidRPr="00336882" w:rsidRDefault="004E5F67" w:rsidP="004E5F67">
      <w:pPr>
        <w:pStyle w:val="Default"/>
        <w:numPr>
          <w:ilvl w:val="0"/>
          <w:numId w:val="6"/>
        </w:numPr>
        <w:rPr>
          <w:rFonts w:asciiTheme="minorHAnsi" w:hAnsiTheme="minorHAnsi" w:cstheme="minorHAnsi"/>
          <w:bCs/>
          <w:sz w:val="20"/>
          <w:szCs w:val="20"/>
        </w:rPr>
      </w:pPr>
      <w:r w:rsidRPr="00336882">
        <w:rPr>
          <w:rFonts w:asciiTheme="minorHAnsi" w:hAnsiTheme="minorHAnsi" w:cstheme="minorHAnsi"/>
          <w:bCs/>
          <w:sz w:val="20"/>
          <w:szCs w:val="20"/>
        </w:rPr>
        <w:t xml:space="preserve">Contact lenses should </w:t>
      </w:r>
      <w:proofErr w:type="gramStart"/>
      <w:r w:rsidRPr="00336882">
        <w:rPr>
          <w:rFonts w:asciiTheme="minorHAnsi" w:hAnsiTheme="minorHAnsi" w:cstheme="minorHAnsi"/>
          <w:bCs/>
          <w:sz w:val="20"/>
          <w:szCs w:val="20"/>
        </w:rPr>
        <w:t>be removed</w:t>
      </w:r>
      <w:proofErr w:type="gramEnd"/>
      <w:r w:rsidRPr="00336882">
        <w:rPr>
          <w:rFonts w:asciiTheme="minorHAnsi" w:hAnsiTheme="minorHAnsi" w:cstheme="minorHAnsi"/>
          <w:bCs/>
          <w:sz w:val="20"/>
          <w:szCs w:val="20"/>
        </w:rPr>
        <w:t xml:space="preserve"> prior to the administration of </w:t>
      </w:r>
      <w:r w:rsidR="009D7042">
        <w:rPr>
          <w:rFonts w:asciiTheme="minorHAnsi" w:hAnsiTheme="minorHAnsi" w:cstheme="minorHAnsi"/>
          <w:bCs/>
          <w:sz w:val="20"/>
          <w:szCs w:val="20"/>
        </w:rPr>
        <w:t>VYZULTA</w:t>
      </w:r>
      <w:r w:rsidRPr="00336882">
        <w:rPr>
          <w:rFonts w:asciiTheme="minorHAnsi" w:hAnsiTheme="minorHAnsi" w:cstheme="minorHAnsi"/>
          <w:bCs/>
          <w:sz w:val="20"/>
          <w:szCs w:val="20"/>
        </w:rPr>
        <w:t xml:space="preserve"> and may be reinserted </w:t>
      </w:r>
      <w:r w:rsidRPr="00336882">
        <w:rPr>
          <w:rFonts w:asciiTheme="minorHAnsi" w:hAnsiTheme="minorHAnsi" w:cstheme="minorHAnsi"/>
          <w:bCs/>
          <w:sz w:val="20"/>
          <w:szCs w:val="20"/>
        </w:rPr>
        <w:br/>
        <w:t xml:space="preserve">15 minutes after administration </w:t>
      </w:r>
    </w:p>
    <w:p w14:paraId="3727AAAB" w14:textId="77777777" w:rsidR="004E5F67" w:rsidRPr="00336882" w:rsidRDefault="004E5F67" w:rsidP="004E5F67">
      <w:pPr>
        <w:pStyle w:val="Default"/>
        <w:numPr>
          <w:ilvl w:val="0"/>
          <w:numId w:val="6"/>
        </w:numPr>
        <w:rPr>
          <w:rFonts w:asciiTheme="minorHAnsi" w:hAnsiTheme="minorHAnsi" w:cstheme="minorHAnsi"/>
          <w:bCs/>
          <w:sz w:val="20"/>
          <w:szCs w:val="20"/>
        </w:rPr>
      </w:pPr>
      <w:r w:rsidRPr="00336882">
        <w:rPr>
          <w:rFonts w:asciiTheme="minorHAnsi" w:hAnsiTheme="minorHAnsi" w:cstheme="minorHAnsi"/>
          <w:bCs/>
          <w:sz w:val="20"/>
          <w:szCs w:val="20"/>
        </w:rPr>
        <w:t>Most common ocular adverse reactions with incidence ≥2% are conjunctival hyperemia (6%), eye irritation (4%), eye pain (3%), and instillation site pain (2%)</w:t>
      </w:r>
    </w:p>
    <w:p w14:paraId="07CB372B" w14:textId="77777777" w:rsidR="004E5F67" w:rsidRPr="00336882" w:rsidRDefault="004E5F67" w:rsidP="004E5F67">
      <w:pPr>
        <w:pStyle w:val="Default"/>
        <w:rPr>
          <w:rFonts w:asciiTheme="minorHAnsi" w:hAnsiTheme="minorHAnsi" w:cstheme="minorHAnsi"/>
          <w:sz w:val="20"/>
          <w:szCs w:val="20"/>
        </w:rPr>
      </w:pPr>
    </w:p>
    <w:p w14:paraId="230E1EF8" w14:textId="752CD650" w:rsidR="00D627D8" w:rsidRDefault="00D627D8" w:rsidP="00D627D8">
      <w:pPr>
        <w:pStyle w:val="Default"/>
        <w:ind w:left="-270"/>
        <w:rPr>
          <w:rFonts w:asciiTheme="minorHAnsi" w:hAnsiTheme="minorHAnsi" w:cstheme="minorHAnsi"/>
          <w:sz w:val="20"/>
          <w:szCs w:val="20"/>
        </w:rPr>
      </w:pPr>
      <w:r w:rsidRPr="00336882">
        <w:rPr>
          <w:rFonts w:asciiTheme="minorHAnsi" w:hAnsiTheme="minorHAnsi" w:cstheme="minorHAnsi"/>
          <w:sz w:val="20"/>
          <w:szCs w:val="20"/>
        </w:rPr>
        <w:t xml:space="preserve">You </w:t>
      </w:r>
      <w:proofErr w:type="gramStart"/>
      <w:r w:rsidRPr="00336882">
        <w:rPr>
          <w:rFonts w:asciiTheme="minorHAnsi" w:hAnsiTheme="minorHAnsi" w:cstheme="minorHAnsi"/>
          <w:sz w:val="20"/>
          <w:szCs w:val="20"/>
        </w:rPr>
        <w:t>are encouraged</w:t>
      </w:r>
      <w:proofErr w:type="gramEnd"/>
      <w:r w:rsidRPr="00336882">
        <w:rPr>
          <w:rFonts w:asciiTheme="minorHAnsi" w:hAnsiTheme="minorHAnsi" w:cstheme="minorHAnsi"/>
          <w:sz w:val="20"/>
          <w:szCs w:val="20"/>
        </w:rPr>
        <w:t xml:space="preserve"> to report negative side effects of prescription drugs to the FDA. Visit </w:t>
      </w:r>
      <w:hyperlink r:id="rId10" w:history="1">
        <w:r>
          <w:rPr>
            <w:rStyle w:val="Hyperlink"/>
            <w:rFonts w:asciiTheme="minorHAnsi" w:hAnsiTheme="minorHAnsi" w:cstheme="minorHAnsi"/>
            <w:sz w:val="20"/>
            <w:szCs w:val="20"/>
          </w:rPr>
          <w:t>www.fda.</w:t>
        </w:r>
        <w:r>
          <w:rPr>
            <w:rStyle w:val="Hyperlink"/>
            <w:rFonts w:asciiTheme="minorHAnsi" w:hAnsiTheme="minorHAnsi" w:cstheme="minorHAnsi"/>
            <w:sz w:val="20"/>
            <w:szCs w:val="20"/>
          </w:rPr>
          <w:t>gov/medwatch</w:t>
        </w:r>
      </w:hyperlink>
      <w:r>
        <w:rPr>
          <w:rFonts w:asciiTheme="minorHAnsi" w:hAnsiTheme="minorHAnsi" w:cstheme="minorHAnsi"/>
          <w:sz w:val="20"/>
          <w:szCs w:val="20"/>
        </w:rPr>
        <w:t xml:space="preserve"> </w:t>
      </w:r>
      <w:r w:rsidRPr="00D627D8">
        <w:rPr>
          <w:rFonts w:asciiTheme="minorHAnsi" w:hAnsiTheme="minorHAnsi" w:cstheme="minorHAnsi"/>
          <w:sz w:val="20"/>
          <w:szCs w:val="20"/>
        </w:rPr>
        <w:t>or call 1-800-FDA-1088</w:t>
      </w:r>
      <w:r w:rsidRPr="00253E89">
        <w:rPr>
          <w:rFonts w:asciiTheme="minorHAnsi" w:hAnsiTheme="minorHAnsi" w:cstheme="minorHAnsi"/>
          <w:sz w:val="20"/>
          <w:szCs w:val="20"/>
        </w:rPr>
        <w:t>.</w:t>
      </w:r>
    </w:p>
    <w:p w14:paraId="3A77051D" w14:textId="77777777" w:rsidR="00D627D8" w:rsidRPr="00253E89" w:rsidRDefault="00D627D8" w:rsidP="00D627D8">
      <w:pPr>
        <w:pStyle w:val="Default"/>
        <w:ind w:left="-270"/>
        <w:rPr>
          <w:rFonts w:asciiTheme="minorHAnsi" w:hAnsiTheme="minorHAnsi" w:cstheme="minorHAnsi"/>
          <w:sz w:val="20"/>
          <w:szCs w:val="20"/>
        </w:rPr>
      </w:pPr>
    </w:p>
    <w:p w14:paraId="2E217F16" w14:textId="6015FEA2" w:rsidR="006C08DE" w:rsidRDefault="00D627D8" w:rsidP="006C08DE">
      <w:pPr>
        <w:pStyle w:val="Default"/>
        <w:ind w:left="-270"/>
        <w:rPr>
          <w:rFonts w:asciiTheme="minorHAnsi" w:hAnsiTheme="minorHAnsi" w:cstheme="minorHAnsi"/>
          <w:sz w:val="20"/>
          <w:szCs w:val="20"/>
        </w:rPr>
      </w:pPr>
      <w:r w:rsidRPr="00D627D8">
        <w:rPr>
          <w:rFonts w:asciiTheme="minorHAnsi" w:hAnsiTheme="minorHAnsi" w:cstheme="minorHAnsi"/>
          <w:b/>
          <w:bCs/>
          <w:sz w:val="20"/>
          <w:szCs w:val="20"/>
        </w:rPr>
        <w:t xml:space="preserve">Please </w:t>
      </w:r>
      <w:r w:rsidRPr="002333AB">
        <w:rPr>
          <w:rFonts w:asciiTheme="minorHAnsi" w:hAnsiTheme="minorHAnsi" w:cstheme="minorHAnsi"/>
          <w:b/>
          <w:bCs/>
          <w:color w:val="auto"/>
          <w:sz w:val="20"/>
          <w:szCs w:val="20"/>
        </w:rPr>
        <w:t xml:space="preserve">click </w:t>
      </w:r>
      <w:hyperlink r:id="rId11" w:history="1">
        <w:r w:rsidRPr="002333AB">
          <w:rPr>
            <w:rStyle w:val="Hyperlink"/>
            <w:rFonts w:asciiTheme="minorHAnsi" w:hAnsiTheme="minorHAnsi" w:cstheme="minorHAnsi"/>
            <w:b/>
            <w:bCs/>
            <w:color w:val="auto"/>
            <w:sz w:val="20"/>
            <w:szCs w:val="20"/>
          </w:rPr>
          <w:t>he</w:t>
        </w:r>
        <w:r w:rsidRPr="002333AB">
          <w:rPr>
            <w:rStyle w:val="Hyperlink"/>
            <w:rFonts w:asciiTheme="minorHAnsi" w:hAnsiTheme="minorHAnsi" w:cstheme="minorHAnsi"/>
            <w:b/>
            <w:bCs/>
            <w:color w:val="auto"/>
            <w:sz w:val="20"/>
            <w:szCs w:val="20"/>
          </w:rPr>
          <w:t>re</w:t>
        </w:r>
      </w:hyperlink>
      <w:r w:rsidRPr="002333AB">
        <w:rPr>
          <w:rFonts w:asciiTheme="minorHAnsi" w:hAnsiTheme="minorHAnsi" w:cstheme="minorHAnsi"/>
          <w:b/>
          <w:bCs/>
          <w:color w:val="auto"/>
          <w:sz w:val="20"/>
          <w:szCs w:val="20"/>
        </w:rPr>
        <w:t xml:space="preserve"> for </w:t>
      </w:r>
      <w:r w:rsidRPr="00D627D8">
        <w:rPr>
          <w:rFonts w:asciiTheme="minorHAnsi" w:hAnsiTheme="minorHAnsi" w:cstheme="minorHAnsi"/>
          <w:b/>
          <w:bCs/>
          <w:sz w:val="20"/>
          <w:szCs w:val="20"/>
        </w:rPr>
        <w:t>full Prescribing Information.</w:t>
      </w:r>
      <w:r w:rsidR="006C08DE" w:rsidRPr="00336882">
        <w:rPr>
          <w:rFonts w:asciiTheme="minorHAnsi" w:hAnsiTheme="minorHAnsi" w:cstheme="minorHAnsi"/>
          <w:sz w:val="20"/>
          <w:szCs w:val="20"/>
        </w:rPr>
        <w:t xml:space="preserve"> </w:t>
      </w:r>
    </w:p>
    <w:p w14:paraId="1C865405" w14:textId="77777777" w:rsidR="004E5F67" w:rsidRPr="00336882" w:rsidRDefault="004E5F67" w:rsidP="004E5F67">
      <w:pPr>
        <w:pStyle w:val="Default"/>
        <w:rPr>
          <w:rFonts w:asciiTheme="minorHAnsi" w:hAnsiTheme="minorHAnsi" w:cstheme="minorHAnsi"/>
          <w:sz w:val="20"/>
          <w:szCs w:val="20"/>
        </w:rPr>
      </w:pPr>
    </w:p>
    <w:p w14:paraId="204D7600" w14:textId="11792B66" w:rsidR="00DD707E" w:rsidRPr="0035428D" w:rsidRDefault="004E5F67" w:rsidP="00C338EB">
      <w:pPr>
        <w:pStyle w:val="Default"/>
        <w:ind w:left="-270"/>
        <w:rPr>
          <w:rFonts w:asciiTheme="minorHAnsi" w:hAnsiTheme="minorHAnsi" w:cstheme="minorHAnsi"/>
          <w:b/>
          <w:bCs/>
          <w:sz w:val="16"/>
          <w:szCs w:val="16"/>
        </w:rPr>
      </w:pPr>
      <w:r w:rsidRPr="0035428D">
        <w:rPr>
          <w:rFonts w:asciiTheme="minorHAnsi" w:hAnsiTheme="minorHAnsi" w:cstheme="minorHAnsi"/>
          <w:b/>
          <w:bCs/>
          <w:sz w:val="16"/>
          <w:szCs w:val="16"/>
        </w:rPr>
        <w:t>References:</w:t>
      </w:r>
      <w:r w:rsidR="00C338EB" w:rsidRPr="0035428D">
        <w:rPr>
          <w:rFonts w:asciiTheme="minorHAnsi" w:hAnsiTheme="minorHAnsi" w:cstheme="minorHAnsi"/>
          <w:b/>
          <w:bCs/>
          <w:sz w:val="16"/>
          <w:szCs w:val="16"/>
        </w:rPr>
        <w:t xml:space="preserve"> </w:t>
      </w:r>
      <w:proofErr w:type="gramStart"/>
      <w:r w:rsidR="00C338EB" w:rsidRPr="0035428D">
        <w:rPr>
          <w:rFonts w:asciiTheme="minorHAnsi" w:hAnsiTheme="minorHAnsi" w:cstheme="minorHAnsi"/>
          <w:b/>
          <w:bCs/>
          <w:sz w:val="16"/>
          <w:szCs w:val="16"/>
        </w:rPr>
        <w:t>1</w:t>
      </w:r>
      <w:proofErr w:type="gramEnd"/>
      <w:r w:rsidR="00C338EB" w:rsidRPr="0035428D">
        <w:rPr>
          <w:rFonts w:asciiTheme="minorHAnsi" w:hAnsiTheme="minorHAnsi" w:cstheme="minorHAnsi"/>
          <w:b/>
          <w:bCs/>
          <w:sz w:val="16"/>
          <w:szCs w:val="16"/>
        </w:rPr>
        <w:t xml:space="preserve">. </w:t>
      </w:r>
      <w:r w:rsidR="009D7042" w:rsidRPr="0035428D">
        <w:rPr>
          <w:rFonts w:asciiTheme="minorHAnsi" w:hAnsiTheme="minorHAnsi" w:cstheme="minorHAnsi"/>
          <w:sz w:val="16"/>
          <w:szCs w:val="16"/>
        </w:rPr>
        <w:t>VYZULTA</w:t>
      </w:r>
      <w:r w:rsidR="00C74494" w:rsidRPr="0035428D">
        <w:rPr>
          <w:rFonts w:asciiTheme="minorHAnsi" w:hAnsiTheme="minorHAnsi" w:cstheme="minorHAnsi"/>
          <w:sz w:val="16"/>
          <w:szCs w:val="16"/>
        </w:rPr>
        <w:t>. Prescribing Information. Bausch &amp; Lomb Inc. </w:t>
      </w:r>
      <w:r w:rsidR="00C74494" w:rsidRPr="0035428D">
        <w:rPr>
          <w:rFonts w:asciiTheme="minorHAnsi" w:hAnsiTheme="minorHAnsi" w:cstheme="minorHAnsi"/>
          <w:b/>
          <w:bCs/>
          <w:sz w:val="16"/>
          <w:szCs w:val="16"/>
        </w:rPr>
        <w:t>2.</w:t>
      </w:r>
      <w:r w:rsidR="00C74494" w:rsidRPr="0035428D">
        <w:rPr>
          <w:rFonts w:asciiTheme="minorHAnsi" w:hAnsiTheme="minorHAnsi" w:cstheme="minorHAnsi"/>
          <w:sz w:val="16"/>
          <w:szCs w:val="16"/>
        </w:rPr>
        <w:t> Cavet ME, Vollmer TR, Harrington KL, VanDerMeid K, Richardson ME. Regulation of endothelin-1-induced trabecular meshwork cell contractility by latanoprostene bunod. </w:t>
      </w:r>
      <w:r w:rsidR="00C74494" w:rsidRPr="0035428D">
        <w:rPr>
          <w:rFonts w:asciiTheme="minorHAnsi" w:hAnsiTheme="minorHAnsi" w:cstheme="minorHAnsi"/>
          <w:i/>
          <w:iCs/>
          <w:sz w:val="16"/>
          <w:szCs w:val="16"/>
        </w:rPr>
        <w:t>Invest Ophthalmol Vis Sci</w:t>
      </w:r>
      <w:r w:rsidR="00C74494" w:rsidRPr="0035428D">
        <w:rPr>
          <w:rFonts w:asciiTheme="minorHAnsi" w:hAnsiTheme="minorHAnsi" w:cstheme="minorHAnsi"/>
          <w:sz w:val="16"/>
          <w:szCs w:val="16"/>
        </w:rPr>
        <w:t>. 2015;56(6):4108-4116.</w:t>
      </w:r>
      <w:r w:rsidR="00E25185" w:rsidRPr="0035428D">
        <w:rPr>
          <w:rFonts w:asciiTheme="minorHAnsi" w:hAnsiTheme="minorHAnsi" w:cstheme="minorHAnsi"/>
          <w:sz w:val="16"/>
          <w:szCs w:val="16"/>
        </w:rPr>
        <w:t xml:space="preserve"> </w:t>
      </w:r>
      <w:r w:rsidR="006C08DE" w:rsidRPr="0035428D">
        <w:rPr>
          <w:rFonts w:asciiTheme="minorHAnsi" w:hAnsiTheme="minorHAnsi" w:cstheme="minorHAnsi"/>
          <w:b/>
          <w:bCs/>
          <w:sz w:val="16"/>
          <w:szCs w:val="16"/>
        </w:rPr>
        <w:t>3.</w:t>
      </w:r>
      <w:r w:rsidR="006C08DE" w:rsidRPr="0035428D">
        <w:rPr>
          <w:rFonts w:asciiTheme="minorHAnsi" w:hAnsiTheme="minorHAnsi" w:cstheme="minorHAnsi"/>
          <w:sz w:val="16"/>
          <w:szCs w:val="16"/>
        </w:rPr>
        <w:t xml:space="preserve"> American Academy of Ophthalmology. Primary open-angle glaucoma preferred practice pattern®. November 2020. Accessed December 30, 2024.https://www.aao.org/education/preferred-practice-pattern/</w:t>
      </w:r>
      <w:r w:rsidR="001F2014">
        <w:rPr>
          <w:rFonts w:asciiTheme="minorHAnsi" w:hAnsiTheme="minorHAnsi" w:cstheme="minorHAnsi"/>
          <w:sz w:val="16"/>
          <w:szCs w:val="16"/>
        </w:rPr>
        <w:t xml:space="preserve"> </w:t>
      </w:r>
      <w:r w:rsidR="006C08DE" w:rsidRPr="0035428D">
        <w:rPr>
          <w:rFonts w:asciiTheme="minorHAnsi" w:hAnsiTheme="minorHAnsi" w:cstheme="minorHAnsi"/>
          <w:sz w:val="16"/>
          <w:szCs w:val="16"/>
        </w:rPr>
        <w:t xml:space="preserve">primary-open-angle-glaucoma-ppp </w:t>
      </w:r>
      <w:proofErr w:type="gramStart"/>
      <w:r w:rsidR="006C08DE" w:rsidRPr="0035428D">
        <w:rPr>
          <w:rFonts w:asciiTheme="minorHAnsi" w:hAnsiTheme="minorHAnsi" w:cstheme="minorHAnsi"/>
          <w:b/>
          <w:bCs/>
          <w:sz w:val="16"/>
          <w:szCs w:val="16"/>
        </w:rPr>
        <w:t>4</w:t>
      </w:r>
      <w:proofErr w:type="gramEnd"/>
      <w:r w:rsidR="006C08DE" w:rsidRPr="0035428D">
        <w:rPr>
          <w:rFonts w:asciiTheme="minorHAnsi" w:hAnsiTheme="minorHAnsi" w:cstheme="minorHAnsi"/>
          <w:b/>
          <w:bCs/>
          <w:sz w:val="16"/>
          <w:szCs w:val="16"/>
        </w:rPr>
        <w:t>.</w:t>
      </w:r>
      <w:r w:rsidR="006C08DE" w:rsidRPr="0035428D">
        <w:rPr>
          <w:rFonts w:asciiTheme="minorHAnsi" w:hAnsiTheme="minorHAnsi" w:cstheme="minorHAnsi"/>
          <w:sz w:val="16"/>
          <w:szCs w:val="16"/>
        </w:rPr>
        <w:t xml:space="preserve"> Winkler NS, Fautsch MP. Effects of prostaglandin analogues on aqueous humor outflow pathways. </w:t>
      </w:r>
      <w:r w:rsidR="006C08DE" w:rsidRPr="0035428D">
        <w:rPr>
          <w:rFonts w:asciiTheme="minorHAnsi" w:hAnsiTheme="minorHAnsi" w:cstheme="minorHAnsi"/>
          <w:i/>
          <w:iCs/>
          <w:sz w:val="16"/>
          <w:szCs w:val="16"/>
        </w:rPr>
        <w:t>J Ocul Pharmacol Ther</w:t>
      </w:r>
      <w:r w:rsidR="006C08DE" w:rsidRPr="0035428D">
        <w:rPr>
          <w:rFonts w:asciiTheme="minorHAnsi" w:hAnsiTheme="minorHAnsi" w:cstheme="minorHAnsi"/>
          <w:sz w:val="16"/>
          <w:szCs w:val="16"/>
        </w:rPr>
        <w:t>. 2014;30(2-3):102-109</w:t>
      </w:r>
      <w:r w:rsidR="00E25185" w:rsidRPr="0035428D">
        <w:rPr>
          <w:rFonts w:asciiTheme="minorHAnsi" w:hAnsiTheme="minorHAnsi" w:cstheme="minorHAnsi"/>
          <w:b/>
          <w:bCs/>
          <w:sz w:val="16"/>
          <w:szCs w:val="16"/>
        </w:rPr>
        <w:t xml:space="preserve"> </w:t>
      </w:r>
      <w:r w:rsidR="00575CE6" w:rsidRPr="0035428D">
        <w:rPr>
          <w:rFonts w:asciiTheme="minorHAnsi" w:hAnsiTheme="minorHAnsi" w:cstheme="minorHAnsi"/>
          <w:b/>
          <w:bCs/>
          <w:sz w:val="16"/>
          <w:szCs w:val="16"/>
        </w:rPr>
        <w:t xml:space="preserve">5. </w:t>
      </w:r>
      <w:r w:rsidR="00E25185" w:rsidRPr="0035428D">
        <w:rPr>
          <w:rFonts w:asciiTheme="minorHAnsi" w:hAnsiTheme="minorHAnsi" w:cstheme="minorHAnsi"/>
          <w:sz w:val="16"/>
          <w:szCs w:val="16"/>
        </w:rPr>
        <w:t>Weinreb RN, Ong T, Scassellati Sforzolini B, Vittitow JL, Singh K, Kaufman PL; VOYAGER Study Group. A randomised, controlled comparison of latanoprostene bunod and latanoprost 0.005% in the treatment of ocular hypertension and open-angle glaucoma: the VOYAGER study. </w:t>
      </w:r>
      <w:r w:rsidR="00E25185" w:rsidRPr="0035428D">
        <w:rPr>
          <w:rFonts w:asciiTheme="minorHAnsi" w:hAnsiTheme="minorHAnsi" w:cstheme="minorHAnsi"/>
          <w:i/>
          <w:iCs/>
          <w:sz w:val="16"/>
          <w:szCs w:val="16"/>
        </w:rPr>
        <w:t>Br J Ophthalmol.</w:t>
      </w:r>
      <w:r w:rsidR="00E25185" w:rsidRPr="0035428D">
        <w:rPr>
          <w:rFonts w:asciiTheme="minorHAnsi" w:hAnsiTheme="minorHAnsi" w:cstheme="minorHAnsi"/>
          <w:sz w:val="16"/>
          <w:szCs w:val="16"/>
        </w:rPr>
        <w:t> 2015;99(6):738-745</w:t>
      </w:r>
      <w:r w:rsidR="00C338EB" w:rsidRPr="0035428D">
        <w:rPr>
          <w:rFonts w:asciiTheme="minorHAnsi" w:hAnsiTheme="minorHAnsi" w:cstheme="minorHAnsi"/>
          <w:sz w:val="16"/>
          <w:szCs w:val="16"/>
        </w:rPr>
        <w:t xml:space="preserve">. </w:t>
      </w:r>
      <w:r w:rsidR="00575CE6" w:rsidRPr="0035428D">
        <w:rPr>
          <w:rFonts w:asciiTheme="minorHAnsi" w:hAnsiTheme="minorHAnsi" w:cstheme="minorHAnsi"/>
          <w:b/>
          <w:bCs/>
          <w:sz w:val="16"/>
          <w:szCs w:val="16"/>
        </w:rPr>
        <w:t>6</w:t>
      </w:r>
      <w:r w:rsidR="00C338EB" w:rsidRPr="0035428D">
        <w:rPr>
          <w:rFonts w:asciiTheme="minorHAnsi" w:hAnsiTheme="minorHAnsi" w:cstheme="minorHAnsi"/>
          <w:b/>
          <w:bCs/>
          <w:sz w:val="16"/>
          <w:szCs w:val="16"/>
        </w:rPr>
        <w:t>.</w:t>
      </w:r>
      <w:r w:rsidR="00C338EB" w:rsidRPr="0035428D">
        <w:rPr>
          <w:rFonts w:asciiTheme="minorHAnsi" w:hAnsiTheme="minorHAnsi" w:cstheme="minorHAnsi"/>
          <w:sz w:val="16"/>
          <w:szCs w:val="16"/>
        </w:rPr>
        <w:t xml:space="preserve"> Weinreb RN, Scassellati Sforzolini B, Vittitow J, Liebmann J. Latanoprostene bunod 0.024% versus timolol maleate 0.5% in subjects with open-angle glaucoma or ocular hypertension: the APOLLO study. </w:t>
      </w:r>
      <w:r w:rsidR="00C338EB" w:rsidRPr="0035428D">
        <w:rPr>
          <w:rFonts w:asciiTheme="minorHAnsi" w:hAnsiTheme="minorHAnsi" w:cstheme="minorHAnsi"/>
          <w:i/>
          <w:iCs/>
          <w:sz w:val="16"/>
          <w:szCs w:val="16"/>
        </w:rPr>
        <w:t>Ophthalmology</w:t>
      </w:r>
      <w:r w:rsidR="00C338EB" w:rsidRPr="0035428D">
        <w:rPr>
          <w:rFonts w:asciiTheme="minorHAnsi" w:hAnsiTheme="minorHAnsi" w:cstheme="minorHAnsi"/>
          <w:sz w:val="16"/>
          <w:szCs w:val="16"/>
        </w:rPr>
        <w:t xml:space="preserve">. 2016;123(5):965-973. </w:t>
      </w:r>
      <w:r w:rsidR="00575CE6" w:rsidRPr="0035428D">
        <w:rPr>
          <w:rFonts w:asciiTheme="minorHAnsi" w:hAnsiTheme="minorHAnsi" w:cstheme="minorHAnsi"/>
          <w:b/>
          <w:bCs/>
          <w:sz w:val="16"/>
          <w:szCs w:val="16"/>
        </w:rPr>
        <w:t>7</w:t>
      </w:r>
      <w:r w:rsidR="00C338EB" w:rsidRPr="0035428D">
        <w:rPr>
          <w:rFonts w:asciiTheme="minorHAnsi" w:hAnsiTheme="minorHAnsi" w:cstheme="minorHAnsi"/>
          <w:b/>
          <w:bCs/>
          <w:sz w:val="16"/>
          <w:szCs w:val="16"/>
        </w:rPr>
        <w:t xml:space="preserve">. </w:t>
      </w:r>
      <w:r w:rsidR="00C338EB" w:rsidRPr="0035428D">
        <w:rPr>
          <w:rFonts w:asciiTheme="minorHAnsi" w:hAnsiTheme="minorHAnsi" w:cstheme="minorHAnsi"/>
          <w:sz w:val="16"/>
          <w:szCs w:val="16"/>
        </w:rPr>
        <w:t xml:space="preserve">Medeiros FA, Martin KR, Peace J, Scassellati Sforzolini B, Vittitow JL, Weinreb RN. Comparison of latanoprostene bunod 0.024% and timolol maleate 0.5% in open-angle glaucoma or ocular hypertension: the LUNAR study. </w:t>
      </w:r>
      <w:r w:rsidR="00C338EB" w:rsidRPr="0035428D">
        <w:rPr>
          <w:rFonts w:asciiTheme="minorHAnsi" w:hAnsiTheme="minorHAnsi" w:cstheme="minorHAnsi"/>
          <w:i/>
          <w:iCs/>
          <w:sz w:val="16"/>
          <w:szCs w:val="16"/>
        </w:rPr>
        <w:t>Am J Ophthalmol</w:t>
      </w:r>
      <w:r w:rsidR="00C338EB" w:rsidRPr="0035428D">
        <w:rPr>
          <w:rFonts w:asciiTheme="minorHAnsi" w:hAnsiTheme="minorHAnsi" w:cstheme="minorHAnsi"/>
          <w:sz w:val="16"/>
          <w:szCs w:val="16"/>
        </w:rPr>
        <w:t xml:space="preserve">. 2016;168:250-259. </w:t>
      </w:r>
      <w:r w:rsidR="00575CE6" w:rsidRPr="0035428D">
        <w:rPr>
          <w:rFonts w:asciiTheme="minorHAnsi" w:hAnsiTheme="minorHAnsi" w:cstheme="minorHAnsi"/>
          <w:b/>
          <w:bCs/>
          <w:sz w:val="16"/>
          <w:szCs w:val="16"/>
        </w:rPr>
        <w:t>8</w:t>
      </w:r>
      <w:r w:rsidR="00C338EB" w:rsidRPr="0035428D">
        <w:rPr>
          <w:rFonts w:asciiTheme="minorHAnsi" w:hAnsiTheme="minorHAnsi" w:cstheme="minorHAnsi"/>
          <w:b/>
          <w:bCs/>
          <w:sz w:val="16"/>
          <w:szCs w:val="16"/>
        </w:rPr>
        <w:t xml:space="preserve">. </w:t>
      </w:r>
      <w:r w:rsidR="00C338EB" w:rsidRPr="0035428D">
        <w:rPr>
          <w:rFonts w:asciiTheme="minorHAnsi" w:hAnsiTheme="minorHAnsi" w:cstheme="minorHAnsi"/>
          <w:sz w:val="16"/>
          <w:szCs w:val="16"/>
        </w:rPr>
        <w:t xml:space="preserve">Kaufman PL. Latanoprostene bunod ophthalmic solution 0.024% for IOP lowering in glaucoma and ocular hypertension. </w:t>
      </w:r>
      <w:r w:rsidR="00C338EB" w:rsidRPr="0035428D">
        <w:rPr>
          <w:rFonts w:asciiTheme="minorHAnsi" w:hAnsiTheme="minorHAnsi" w:cstheme="minorHAnsi"/>
          <w:i/>
          <w:iCs/>
          <w:sz w:val="16"/>
          <w:szCs w:val="16"/>
        </w:rPr>
        <w:t>Expert Opin Pharmacother</w:t>
      </w:r>
      <w:r w:rsidR="00C338EB" w:rsidRPr="0035428D">
        <w:rPr>
          <w:rFonts w:asciiTheme="minorHAnsi" w:hAnsiTheme="minorHAnsi" w:cstheme="minorHAnsi"/>
          <w:sz w:val="16"/>
          <w:szCs w:val="16"/>
        </w:rPr>
        <w:t xml:space="preserve">. 2017;18(4):433-444. </w:t>
      </w:r>
      <w:r w:rsidR="00575CE6" w:rsidRPr="0035428D">
        <w:rPr>
          <w:rFonts w:asciiTheme="minorHAnsi" w:hAnsiTheme="minorHAnsi" w:cstheme="minorHAnsi"/>
          <w:b/>
          <w:bCs/>
          <w:sz w:val="16"/>
          <w:szCs w:val="16"/>
        </w:rPr>
        <w:t>9</w:t>
      </w:r>
      <w:r w:rsidR="00C338EB" w:rsidRPr="0035428D">
        <w:rPr>
          <w:rFonts w:asciiTheme="minorHAnsi" w:hAnsiTheme="minorHAnsi" w:cstheme="minorHAnsi"/>
          <w:b/>
          <w:bCs/>
          <w:sz w:val="16"/>
          <w:szCs w:val="16"/>
        </w:rPr>
        <w:t>.</w:t>
      </w:r>
      <w:r w:rsidR="00C338EB" w:rsidRPr="0035428D">
        <w:rPr>
          <w:rFonts w:asciiTheme="minorHAnsi" w:hAnsiTheme="minorHAnsi" w:cstheme="minorHAnsi"/>
          <w:sz w:val="16"/>
          <w:szCs w:val="16"/>
        </w:rPr>
        <w:t xml:space="preserve"> </w:t>
      </w:r>
      <w:r w:rsidR="0035428D" w:rsidRPr="0035428D">
        <w:rPr>
          <w:rFonts w:asciiTheme="minorHAnsi" w:hAnsiTheme="minorHAnsi" w:cstheme="minorHAnsi"/>
          <w:sz w:val="16"/>
          <w:szCs w:val="16"/>
        </w:rPr>
        <w:t>Okeke CO, Burstein ES, Trubnik V, et al. Retrospective chart review on real-world use of latanoprostene bunod 0.024% in treatment-naïve patients with open-angle glaucoma.</w:t>
      </w:r>
      <w:r w:rsidR="00C338EB" w:rsidRPr="0035428D">
        <w:rPr>
          <w:rFonts w:asciiTheme="minorHAnsi" w:hAnsiTheme="minorHAnsi" w:cstheme="minorHAnsi"/>
          <w:sz w:val="16"/>
          <w:szCs w:val="16"/>
        </w:rPr>
        <w:t xml:space="preserve"> </w:t>
      </w:r>
      <w:r w:rsidR="00C338EB" w:rsidRPr="0035428D">
        <w:rPr>
          <w:rFonts w:asciiTheme="minorHAnsi" w:hAnsiTheme="minorHAnsi" w:cstheme="minorHAnsi"/>
          <w:i/>
          <w:iCs/>
          <w:sz w:val="16"/>
          <w:szCs w:val="16"/>
        </w:rPr>
        <w:t>Ophthalmol Ther</w:t>
      </w:r>
      <w:r w:rsidR="00C338EB" w:rsidRPr="0035428D">
        <w:rPr>
          <w:rFonts w:asciiTheme="minorHAnsi" w:hAnsiTheme="minorHAnsi" w:cstheme="minorHAnsi"/>
          <w:sz w:val="16"/>
          <w:szCs w:val="16"/>
        </w:rPr>
        <w:t xml:space="preserve">. 2020;9(4):1041-1053. </w:t>
      </w:r>
      <w:r w:rsidR="00575CE6" w:rsidRPr="0035428D">
        <w:rPr>
          <w:rFonts w:asciiTheme="minorHAnsi" w:hAnsiTheme="minorHAnsi" w:cstheme="minorHAnsi"/>
          <w:b/>
          <w:bCs/>
          <w:sz w:val="16"/>
          <w:szCs w:val="16"/>
        </w:rPr>
        <w:t>10</w:t>
      </w:r>
      <w:r w:rsidR="00C338EB" w:rsidRPr="0035428D">
        <w:rPr>
          <w:rFonts w:asciiTheme="minorHAnsi" w:hAnsiTheme="minorHAnsi" w:cstheme="minorHAnsi"/>
          <w:b/>
          <w:bCs/>
          <w:sz w:val="16"/>
          <w:szCs w:val="16"/>
        </w:rPr>
        <w:t>.</w:t>
      </w:r>
      <w:r w:rsidR="00C338EB" w:rsidRPr="0035428D">
        <w:rPr>
          <w:rFonts w:asciiTheme="minorHAnsi" w:hAnsiTheme="minorHAnsi" w:cstheme="minorHAnsi"/>
          <w:sz w:val="16"/>
          <w:szCs w:val="16"/>
        </w:rPr>
        <w:t xml:space="preserve"> </w:t>
      </w:r>
      <w:r w:rsidR="0035428D" w:rsidRPr="0035428D">
        <w:rPr>
          <w:rFonts w:asciiTheme="minorHAnsi" w:hAnsiTheme="minorHAnsi" w:cstheme="minorHAnsi"/>
          <w:sz w:val="16"/>
          <w:szCs w:val="16"/>
        </w:rPr>
        <w:t>Okeke CO, Cothran NL, Brinkley DA, Rahmatnejad K, Rodiño FJ, Deom JE. Latanoprostene bunod 0.024% in patients with open-angle glaucoma switched from prior pharmacotherapy: a retrospective chart review.</w:t>
      </w:r>
      <w:r w:rsidR="00C338EB" w:rsidRPr="0035428D">
        <w:rPr>
          <w:rFonts w:asciiTheme="minorHAnsi" w:hAnsiTheme="minorHAnsi" w:cstheme="minorHAnsi"/>
          <w:i/>
          <w:iCs/>
          <w:sz w:val="16"/>
          <w:szCs w:val="16"/>
        </w:rPr>
        <w:t xml:space="preserve"> Clin Ophthalmol</w:t>
      </w:r>
      <w:r w:rsidR="00C338EB" w:rsidRPr="0035428D">
        <w:rPr>
          <w:rFonts w:asciiTheme="minorHAnsi" w:hAnsiTheme="minorHAnsi" w:cstheme="minorHAnsi"/>
          <w:sz w:val="16"/>
          <w:szCs w:val="16"/>
        </w:rPr>
        <w:t xml:space="preserve">. 2024;18:409-422. </w:t>
      </w:r>
      <w:r w:rsidR="00575CE6" w:rsidRPr="0035428D">
        <w:rPr>
          <w:rFonts w:asciiTheme="minorHAnsi" w:hAnsiTheme="minorHAnsi" w:cstheme="minorHAnsi"/>
          <w:b/>
          <w:bCs/>
          <w:sz w:val="16"/>
          <w:szCs w:val="16"/>
        </w:rPr>
        <w:t>11</w:t>
      </w:r>
      <w:r w:rsidR="00C338EB" w:rsidRPr="0035428D">
        <w:rPr>
          <w:rFonts w:asciiTheme="minorHAnsi" w:hAnsiTheme="minorHAnsi" w:cstheme="minorHAnsi"/>
          <w:b/>
          <w:bCs/>
          <w:sz w:val="16"/>
          <w:szCs w:val="16"/>
        </w:rPr>
        <w:t>.</w:t>
      </w:r>
      <w:r w:rsidR="00C338EB" w:rsidRPr="0035428D">
        <w:rPr>
          <w:rFonts w:asciiTheme="minorHAnsi" w:hAnsiTheme="minorHAnsi" w:cstheme="minorHAnsi"/>
          <w:sz w:val="16"/>
          <w:szCs w:val="16"/>
        </w:rPr>
        <w:t xml:space="preserve"> Weinreb RN, Liebmann JM, Martin KR, Kaufman PL, Vittitow JL. Latanoprostene bunod 0.024% in subjects with open-angle glaucoma or ocular hypertension: pooled phase 3 study findings. </w:t>
      </w:r>
      <w:r w:rsidR="00C338EB" w:rsidRPr="0035428D">
        <w:rPr>
          <w:rFonts w:asciiTheme="minorHAnsi" w:hAnsiTheme="minorHAnsi" w:cstheme="minorHAnsi"/>
          <w:i/>
          <w:iCs/>
          <w:sz w:val="16"/>
          <w:szCs w:val="16"/>
        </w:rPr>
        <w:t>J Glaucoma</w:t>
      </w:r>
      <w:r w:rsidR="00C338EB" w:rsidRPr="0035428D">
        <w:rPr>
          <w:rFonts w:asciiTheme="minorHAnsi" w:hAnsiTheme="minorHAnsi" w:cstheme="minorHAnsi"/>
          <w:sz w:val="16"/>
          <w:szCs w:val="16"/>
        </w:rPr>
        <w:t>. 2018;27(1):7-15.</w:t>
      </w:r>
    </w:p>
    <w:sectPr w:rsidR="00DD707E" w:rsidRPr="0035428D" w:rsidSect="00C249B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A5F21" w14:textId="77777777" w:rsidR="00A02DEA" w:rsidRDefault="00A02DEA" w:rsidP="00DD707E">
      <w:pPr>
        <w:spacing w:after="0" w:line="240" w:lineRule="auto"/>
      </w:pPr>
      <w:r>
        <w:separator/>
      </w:r>
    </w:p>
  </w:endnote>
  <w:endnote w:type="continuationSeparator" w:id="0">
    <w:p w14:paraId="0520597F" w14:textId="77777777" w:rsidR="00A02DEA" w:rsidRDefault="00A02DEA" w:rsidP="00DD7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7F27" w14:textId="08D3D72A" w:rsidR="00DD707E" w:rsidRPr="001F714D" w:rsidRDefault="00DD707E" w:rsidP="00DD707E">
    <w:pPr>
      <w:pStyle w:val="Default"/>
      <w:ind w:left="-270"/>
      <w:rPr>
        <w:rFonts w:asciiTheme="minorHAnsi" w:hAnsiTheme="minorHAnsi" w:cstheme="minorHAnsi"/>
        <w:sz w:val="22"/>
        <w:szCs w:val="22"/>
      </w:rPr>
    </w:pPr>
    <w:r w:rsidRPr="00C20305">
      <w:rPr>
        <w:rFonts w:cstheme="minorHAnsi"/>
        <w:color w:val="303030"/>
        <w:sz w:val="18"/>
        <w:szCs w:val="18"/>
        <w:shd w:val="clear" w:color="auto" w:fill="FFFFFF"/>
      </w:rPr>
      <w:t>©202</w:t>
    </w:r>
    <w:r>
      <w:rPr>
        <w:rFonts w:cstheme="minorHAnsi"/>
        <w:color w:val="303030"/>
        <w:sz w:val="18"/>
        <w:szCs w:val="18"/>
        <w:shd w:val="clear" w:color="auto" w:fill="FFFFFF"/>
      </w:rPr>
      <w:t>5</w:t>
    </w:r>
    <w:r w:rsidRPr="00C20305">
      <w:rPr>
        <w:rFonts w:cstheme="minorHAnsi"/>
        <w:color w:val="303030"/>
        <w:sz w:val="18"/>
        <w:szCs w:val="18"/>
        <w:shd w:val="clear" w:color="auto" w:fill="FFFFFF"/>
      </w:rPr>
      <w:t xml:space="preserve"> Bausch </w:t>
    </w:r>
    <w:r>
      <w:rPr>
        <w:rFonts w:cstheme="minorHAnsi"/>
        <w:color w:val="303030"/>
        <w:sz w:val="18"/>
        <w:szCs w:val="18"/>
        <w:shd w:val="clear" w:color="auto" w:fill="FFFFFF"/>
      </w:rPr>
      <w:t>+ Lomb</w:t>
    </w:r>
    <w:r>
      <w:rPr>
        <w:rFonts w:asciiTheme="minorHAnsi" w:hAnsiTheme="minorHAnsi" w:cstheme="minorHAnsi"/>
        <w:sz w:val="22"/>
        <w:szCs w:val="22"/>
      </w:rPr>
      <w:t xml:space="preserve">                                                                                                                                                            </w:t>
    </w:r>
    <w:r w:rsidRPr="00DD707E">
      <w:rPr>
        <w:rFonts w:cstheme="minorHAnsi"/>
        <w:color w:val="303030"/>
        <w:sz w:val="18"/>
        <w:szCs w:val="18"/>
        <w:shd w:val="clear" w:color="auto" w:fill="FFFFFF"/>
      </w:rPr>
      <w:t>VYZ.0188.USA.24</w:t>
    </w:r>
  </w:p>
  <w:p w14:paraId="2C3D5123" w14:textId="77777777" w:rsidR="00DD707E" w:rsidRDefault="00DD707E" w:rsidP="00DD707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181B1" w14:textId="77777777" w:rsidR="00A02DEA" w:rsidRDefault="00A02DEA" w:rsidP="00DD707E">
      <w:pPr>
        <w:spacing w:after="0" w:line="240" w:lineRule="auto"/>
      </w:pPr>
      <w:r>
        <w:separator/>
      </w:r>
    </w:p>
  </w:footnote>
  <w:footnote w:type="continuationSeparator" w:id="0">
    <w:p w14:paraId="61D53E96" w14:textId="77777777" w:rsidR="00A02DEA" w:rsidRDefault="00A02DEA" w:rsidP="00DD7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77EB4"/>
    <w:multiLevelType w:val="hybridMultilevel"/>
    <w:tmpl w:val="1714C520"/>
    <w:lvl w:ilvl="0" w:tplc="1A324668">
      <w:start w:val="1"/>
      <w:numFmt w:val="bullet"/>
      <w:lvlText w:val="•"/>
      <w:lvlJc w:val="left"/>
      <w:pPr>
        <w:tabs>
          <w:tab w:val="num" w:pos="720"/>
        </w:tabs>
        <w:ind w:left="720" w:hanging="360"/>
      </w:pPr>
      <w:rPr>
        <w:rFonts w:ascii="Arial" w:hAnsi="Arial" w:hint="default"/>
      </w:rPr>
    </w:lvl>
    <w:lvl w:ilvl="1" w:tplc="9A3C6ED2" w:tentative="1">
      <w:start w:val="1"/>
      <w:numFmt w:val="bullet"/>
      <w:lvlText w:val="•"/>
      <w:lvlJc w:val="left"/>
      <w:pPr>
        <w:tabs>
          <w:tab w:val="num" w:pos="1440"/>
        </w:tabs>
        <w:ind w:left="1440" w:hanging="360"/>
      </w:pPr>
      <w:rPr>
        <w:rFonts w:ascii="Arial" w:hAnsi="Arial" w:hint="default"/>
      </w:rPr>
    </w:lvl>
    <w:lvl w:ilvl="2" w:tplc="FC6419F2" w:tentative="1">
      <w:start w:val="1"/>
      <w:numFmt w:val="bullet"/>
      <w:lvlText w:val="•"/>
      <w:lvlJc w:val="left"/>
      <w:pPr>
        <w:tabs>
          <w:tab w:val="num" w:pos="2160"/>
        </w:tabs>
        <w:ind w:left="2160" w:hanging="360"/>
      </w:pPr>
      <w:rPr>
        <w:rFonts w:ascii="Arial" w:hAnsi="Arial" w:hint="default"/>
      </w:rPr>
    </w:lvl>
    <w:lvl w:ilvl="3" w:tplc="BA944842" w:tentative="1">
      <w:start w:val="1"/>
      <w:numFmt w:val="bullet"/>
      <w:lvlText w:val="•"/>
      <w:lvlJc w:val="left"/>
      <w:pPr>
        <w:tabs>
          <w:tab w:val="num" w:pos="2880"/>
        </w:tabs>
        <w:ind w:left="2880" w:hanging="360"/>
      </w:pPr>
      <w:rPr>
        <w:rFonts w:ascii="Arial" w:hAnsi="Arial" w:hint="default"/>
      </w:rPr>
    </w:lvl>
    <w:lvl w:ilvl="4" w:tplc="8404F606" w:tentative="1">
      <w:start w:val="1"/>
      <w:numFmt w:val="bullet"/>
      <w:lvlText w:val="•"/>
      <w:lvlJc w:val="left"/>
      <w:pPr>
        <w:tabs>
          <w:tab w:val="num" w:pos="3600"/>
        </w:tabs>
        <w:ind w:left="3600" w:hanging="360"/>
      </w:pPr>
      <w:rPr>
        <w:rFonts w:ascii="Arial" w:hAnsi="Arial" w:hint="default"/>
      </w:rPr>
    </w:lvl>
    <w:lvl w:ilvl="5" w:tplc="CCE638DC" w:tentative="1">
      <w:start w:val="1"/>
      <w:numFmt w:val="bullet"/>
      <w:lvlText w:val="•"/>
      <w:lvlJc w:val="left"/>
      <w:pPr>
        <w:tabs>
          <w:tab w:val="num" w:pos="4320"/>
        </w:tabs>
        <w:ind w:left="4320" w:hanging="360"/>
      </w:pPr>
      <w:rPr>
        <w:rFonts w:ascii="Arial" w:hAnsi="Arial" w:hint="default"/>
      </w:rPr>
    </w:lvl>
    <w:lvl w:ilvl="6" w:tplc="A964F74E" w:tentative="1">
      <w:start w:val="1"/>
      <w:numFmt w:val="bullet"/>
      <w:lvlText w:val="•"/>
      <w:lvlJc w:val="left"/>
      <w:pPr>
        <w:tabs>
          <w:tab w:val="num" w:pos="5040"/>
        </w:tabs>
        <w:ind w:left="5040" w:hanging="360"/>
      </w:pPr>
      <w:rPr>
        <w:rFonts w:ascii="Arial" w:hAnsi="Arial" w:hint="default"/>
      </w:rPr>
    </w:lvl>
    <w:lvl w:ilvl="7" w:tplc="27B6B4DA" w:tentative="1">
      <w:start w:val="1"/>
      <w:numFmt w:val="bullet"/>
      <w:lvlText w:val="•"/>
      <w:lvlJc w:val="left"/>
      <w:pPr>
        <w:tabs>
          <w:tab w:val="num" w:pos="5760"/>
        </w:tabs>
        <w:ind w:left="5760" w:hanging="360"/>
      </w:pPr>
      <w:rPr>
        <w:rFonts w:ascii="Arial" w:hAnsi="Arial" w:hint="default"/>
      </w:rPr>
    </w:lvl>
    <w:lvl w:ilvl="8" w:tplc="A53445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9B7823"/>
    <w:multiLevelType w:val="hybridMultilevel"/>
    <w:tmpl w:val="4112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C5E48"/>
    <w:multiLevelType w:val="hybridMultilevel"/>
    <w:tmpl w:val="6568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C043A5"/>
    <w:multiLevelType w:val="hybridMultilevel"/>
    <w:tmpl w:val="B9769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D2289"/>
    <w:multiLevelType w:val="hybridMultilevel"/>
    <w:tmpl w:val="4BCA0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8951C8"/>
    <w:multiLevelType w:val="hybridMultilevel"/>
    <w:tmpl w:val="46D84B0C"/>
    <w:lvl w:ilvl="0" w:tplc="1D42DA1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 w15:restartNumberingAfterBreak="0">
    <w:nsid w:val="6CCC1690"/>
    <w:multiLevelType w:val="hybridMultilevel"/>
    <w:tmpl w:val="8A08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601847"/>
    <w:multiLevelType w:val="hybridMultilevel"/>
    <w:tmpl w:val="3D848504"/>
    <w:lvl w:ilvl="0" w:tplc="5C50E034">
      <w:start w:val="1"/>
      <w:numFmt w:val="bullet"/>
      <w:lvlText w:val="•"/>
      <w:lvlJc w:val="left"/>
      <w:pPr>
        <w:tabs>
          <w:tab w:val="num" w:pos="720"/>
        </w:tabs>
        <w:ind w:left="720" w:hanging="360"/>
      </w:pPr>
      <w:rPr>
        <w:rFonts w:ascii="Arial" w:hAnsi="Arial" w:hint="default"/>
      </w:rPr>
    </w:lvl>
    <w:lvl w:ilvl="1" w:tplc="C1C41DB2" w:tentative="1">
      <w:start w:val="1"/>
      <w:numFmt w:val="bullet"/>
      <w:lvlText w:val="•"/>
      <w:lvlJc w:val="left"/>
      <w:pPr>
        <w:tabs>
          <w:tab w:val="num" w:pos="1440"/>
        </w:tabs>
        <w:ind w:left="1440" w:hanging="360"/>
      </w:pPr>
      <w:rPr>
        <w:rFonts w:ascii="Arial" w:hAnsi="Arial" w:hint="default"/>
      </w:rPr>
    </w:lvl>
    <w:lvl w:ilvl="2" w:tplc="8244F346" w:tentative="1">
      <w:start w:val="1"/>
      <w:numFmt w:val="bullet"/>
      <w:lvlText w:val="•"/>
      <w:lvlJc w:val="left"/>
      <w:pPr>
        <w:tabs>
          <w:tab w:val="num" w:pos="2160"/>
        </w:tabs>
        <w:ind w:left="2160" w:hanging="360"/>
      </w:pPr>
      <w:rPr>
        <w:rFonts w:ascii="Arial" w:hAnsi="Arial" w:hint="default"/>
      </w:rPr>
    </w:lvl>
    <w:lvl w:ilvl="3" w:tplc="487C19B6" w:tentative="1">
      <w:start w:val="1"/>
      <w:numFmt w:val="bullet"/>
      <w:lvlText w:val="•"/>
      <w:lvlJc w:val="left"/>
      <w:pPr>
        <w:tabs>
          <w:tab w:val="num" w:pos="2880"/>
        </w:tabs>
        <w:ind w:left="2880" w:hanging="360"/>
      </w:pPr>
      <w:rPr>
        <w:rFonts w:ascii="Arial" w:hAnsi="Arial" w:hint="default"/>
      </w:rPr>
    </w:lvl>
    <w:lvl w:ilvl="4" w:tplc="C23E471E" w:tentative="1">
      <w:start w:val="1"/>
      <w:numFmt w:val="bullet"/>
      <w:lvlText w:val="•"/>
      <w:lvlJc w:val="left"/>
      <w:pPr>
        <w:tabs>
          <w:tab w:val="num" w:pos="3600"/>
        </w:tabs>
        <w:ind w:left="3600" w:hanging="360"/>
      </w:pPr>
      <w:rPr>
        <w:rFonts w:ascii="Arial" w:hAnsi="Arial" w:hint="default"/>
      </w:rPr>
    </w:lvl>
    <w:lvl w:ilvl="5" w:tplc="C4C443B8" w:tentative="1">
      <w:start w:val="1"/>
      <w:numFmt w:val="bullet"/>
      <w:lvlText w:val="•"/>
      <w:lvlJc w:val="left"/>
      <w:pPr>
        <w:tabs>
          <w:tab w:val="num" w:pos="4320"/>
        </w:tabs>
        <w:ind w:left="4320" w:hanging="360"/>
      </w:pPr>
      <w:rPr>
        <w:rFonts w:ascii="Arial" w:hAnsi="Arial" w:hint="default"/>
      </w:rPr>
    </w:lvl>
    <w:lvl w:ilvl="6" w:tplc="6E72793C" w:tentative="1">
      <w:start w:val="1"/>
      <w:numFmt w:val="bullet"/>
      <w:lvlText w:val="•"/>
      <w:lvlJc w:val="left"/>
      <w:pPr>
        <w:tabs>
          <w:tab w:val="num" w:pos="5040"/>
        </w:tabs>
        <w:ind w:left="5040" w:hanging="360"/>
      </w:pPr>
      <w:rPr>
        <w:rFonts w:ascii="Arial" w:hAnsi="Arial" w:hint="default"/>
      </w:rPr>
    </w:lvl>
    <w:lvl w:ilvl="7" w:tplc="5D54D97C" w:tentative="1">
      <w:start w:val="1"/>
      <w:numFmt w:val="bullet"/>
      <w:lvlText w:val="•"/>
      <w:lvlJc w:val="left"/>
      <w:pPr>
        <w:tabs>
          <w:tab w:val="num" w:pos="5760"/>
        </w:tabs>
        <w:ind w:left="5760" w:hanging="360"/>
      </w:pPr>
      <w:rPr>
        <w:rFonts w:ascii="Arial" w:hAnsi="Arial" w:hint="default"/>
      </w:rPr>
    </w:lvl>
    <w:lvl w:ilvl="8" w:tplc="2ABCDFC4" w:tentative="1">
      <w:start w:val="1"/>
      <w:numFmt w:val="bullet"/>
      <w:lvlText w:val="•"/>
      <w:lvlJc w:val="left"/>
      <w:pPr>
        <w:tabs>
          <w:tab w:val="num" w:pos="6480"/>
        </w:tabs>
        <w:ind w:left="6480" w:hanging="360"/>
      </w:pPr>
      <w:rPr>
        <w:rFonts w:ascii="Arial" w:hAnsi="Arial" w:hint="default"/>
      </w:rPr>
    </w:lvl>
  </w:abstractNum>
  <w:num w:numId="1" w16cid:durableId="816841214">
    <w:abstractNumId w:val="1"/>
  </w:num>
  <w:num w:numId="2" w16cid:durableId="1997033008">
    <w:abstractNumId w:val="3"/>
  </w:num>
  <w:num w:numId="3" w16cid:durableId="708606369">
    <w:abstractNumId w:val="6"/>
  </w:num>
  <w:num w:numId="4" w16cid:durableId="1085227270">
    <w:abstractNumId w:val="4"/>
  </w:num>
  <w:num w:numId="5" w16cid:durableId="77410879">
    <w:abstractNumId w:val="7"/>
  </w:num>
  <w:num w:numId="6" w16cid:durableId="654534510">
    <w:abstractNumId w:val="0"/>
  </w:num>
  <w:num w:numId="7" w16cid:durableId="2087191509">
    <w:abstractNumId w:val="2"/>
  </w:num>
  <w:num w:numId="8" w16cid:durableId="1872954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BE"/>
    <w:rsid w:val="00001317"/>
    <w:rsid w:val="00015A13"/>
    <w:rsid w:val="000234D7"/>
    <w:rsid w:val="000430F1"/>
    <w:rsid w:val="000562BC"/>
    <w:rsid w:val="000678E9"/>
    <w:rsid w:val="00067BBB"/>
    <w:rsid w:val="00072756"/>
    <w:rsid w:val="0007642E"/>
    <w:rsid w:val="000A7E27"/>
    <w:rsid w:val="000B22DD"/>
    <w:rsid w:val="000B4DEB"/>
    <w:rsid w:val="000B7659"/>
    <w:rsid w:val="000D506A"/>
    <w:rsid w:val="000D66FA"/>
    <w:rsid w:val="000E0B55"/>
    <w:rsid w:val="00102A37"/>
    <w:rsid w:val="001206C3"/>
    <w:rsid w:val="00121A94"/>
    <w:rsid w:val="00153687"/>
    <w:rsid w:val="00165CE3"/>
    <w:rsid w:val="00176A57"/>
    <w:rsid w:val="001B452D"/>
    <w:rsid w:val="001F0ECD"/>
    <w:rsid w:val="001F2014"/>
    <w:rsid w:val="001F714D"/>
    <w:rsid w:val="002333AB"/>
    <w:rsid w:val="002455B1"/>
    <w:rsid w:val="002466A9"/>
    <w:rsid w:val="00253E89"/>
    <w:rsid w:val="00263016"/>
    <w:rsid w:val="00283E1F"/>
    <w:rsid w:val="002D1494"/>
    <w:rsid w:val="002D26C8"/>
    <w:rsid w:val="002D3C58"/>
    <w:rsid w:val="00302035"/>
    <w:rsid w:val="00336882"/>
    <w:rsid w:val="0035428D"/>
    <w:rsid w:val="00364EDA"/>
    <w:rsid w:val="00366035"/>
    <w:rsid w:val="0037366E"/>
    <w:rsid w:val="0037490F"/>
    <w:rsid w:val="003842C3"/>
    <w:rsid w:val="00393042"/>
    <w:rsid w:val="003B0F7F"/>
    <w:rsid w:val="003B658C"/>
    <w:rsid w:val="003B702C"/>
    <w:rsid w:val="003E0FAD"/>
    <w:rsid w:val="003E282C"/>
    <w:rsid w:val="003F0FC7"/>
    <w:rsid w:val="0040171C"/>
    <w:rsid w:val="00410423"/>
    <w:rsid w:val="00415BB3"/>
    <w:rsid w:val="0042289A"/>
    <w:rsid w:val="0045143F"/>
    <w:rsid w:val="00452E16"/>
    <w:rsid w:val="00463D01"/>
    <w:rsid w:val="0046588C"/>
    <w:rsid w:val="00482953"/>
    <w:rsid w:val="00487F17"/>
    <w:rsid w:val="004D6D8F"/>
    <w:rsid w:val="004E5F67"/>
    <w:rsid w:val="00530ED3"/>
    <w:rsid w:val="00535E2E"/>
    <w:rsid w:val="00560C2D"/>
    <w:rsid w:val="0056296E"/>
    <w:rsid w:val="00563BF1"/>
    <w:rsid w:val="0057311B"/>
    <w:rsid w:val="00575CE6"/>
    <w:rsid w:val="00585DBC"/>
    <w:rsid w:val="00595355"/>
    <w:rsid w:val="005D3468"/>
    <w:rsid w:val="00630209"/>
    <w:rsid w:val="00632C04"/>
    <w:rsid w:val="006442C6"/>
    <w:rsid w:val="00652BEF"/>
    <w:rsid w:val="00660EA8"/>
    <w:rsid w:val="006724CB"/>
    <w:rsid w:val="00686B5A"/>
    <w:rsid w:val="006C08DE"/>
    <w:rsid w:val="006C3CA4"/>
    <w:rsid w:val="007007F1"/>
    <w:rsid w:val="007027F4"/>
    <w:rsid w:val="00730590"/>
    <w:rsid w:val="00752763"/>
    <w:rsid w:val="00756DAC"/>
    <w:rsid w:val="00764490"/>
    <w:rsid w:val="007774F6"/>
    <w:rsid w:val="007F0D1F"/>
    <w:rsid w:val="007F6337"/>
    <w:rsid w:val="00804D08"/>
    <w:rsid w:val="00826637"/>
    <w:rsid w:val="00845334"/>
    <w:rsid w:val="00853CCB"/>
    <w:rsid w:val="00864C6B"/>
    <w:rsid w:val="0089288B"/>
    <w:rsid w:val="008A180E"/>
    <w:rsid w:val="008A6031"/>
    <w:rsid w:val="008B6697"/>
    <w:rsid w:val="008B7851"/>
    <w:rsid w:val="008C6EFB"/>
    <w:rsid w:val="008D63BA"/>
    <w:rsid w:val="00915B3D"/>
    <w:rsid w:val="00930C21"/>
    <w:rsid w:val="00933D97"/>
    <w:rsid w:val="009D7042"/>
    <w:rsid w:val="00A02DEA"/>
    <w:rsid w:val="00A351C5"/>
    <w:rsid w:val="00A56DE0"/>
    <w:rsid w:val="00AB7D6D"/>
    <w:rsid w:val="00AD0D96"/>
    <w:rsid w:val="00AF7C72"/>
    <w:rsid w:val="00B024A0"/>
    <w:rsid w:val="00B07422"/>
    <w:rsid w:val="00B20EDF"/>
    <w:rsid w:val="00B4689D"/>
    <w:rsid w:val="00B4707C"/>
    <w:rsid w:val="00B51B01"/>
    <w:rsid w:val="00B76A38"/>
    <w:rsid w:val="00B774E1"/>
    <w:rsid w:val="00B822CC"/>
    <w:rsid w:val="00BB583A"/>
    <w:rsid w:val="00BE49DB"/>
    <w:rsid w:val="00BF69E4"/>
    <w:rsid w:val="00C17AE4"/>
    <w:rsid w:val="00C249BE"/>
    <w:rsid w:val="00C26897"/>
    <w:rsid w:val="00C27531"/>
    <w:rsid w:val="00C338EB"/>
    <w:rsid w:val="00C74494"/>
    <w:rsid w:val="00C921EB"/>
    <w:rsid w:val="00C97E30"/>
    <w:rsid w:val="00CA6705"/>
    <w:rsid w:val="00CB4F1C"/>
    <w:rsid w:val="00CB5E53"/>
    <w:rsid w:val="00CC227E"/>
    <w:rsid w:val="00D5185C"/>
    <w:rsid w:val="00D627D8"/>
    <w:rsid w:val="00D679A2"/>
    <w:rsid w:val="00D95D17"/>
    <w:rsid w:val="00D96476"/>
    <w:rsid w:val="00D97867"/>
    <w:rsid w:val="00DC2584"/>
    <w:rsid w:val="00DD2460"/>
    <w:rsid w:val="00DD707E"/>
    <w:rsid w:val="00DE47B4"/>
    <w:rsid w:val="00DF4CC5"/>
    <w:rsid w:val="00DF62DD"/>
    <w:rsid w:val="00E033DD"/>
    <w:rsid w:val="00E14913"/>
    <w:rsid w:val="00E25185"/>
    <w:rsid w:val="00E41908"/>
    <w:rsid w:val="00E72671"/>
    <w:rsid w:val="00EC4D27"/>
    <w:rsid w:val="00EF4A7F"/>
    <w:rsid w:val="00F01322"/>
    <w:rsid w:val="00F02894"/>
    <w:rsid w:val="00F414BB"/>
    <w:rsid w:val="00F76180"/>
    <w:rsid w:val="00F902CC"/>
    <w:rsid w:val="00F92235"/>
    <w:rsid w:val="00FA16E3"/>
    <w:rsid w:val="00FA6162"/>
    <w:rsid w:val="00FC5ED7"/>
    <w:rsid w:val="00FE27F0"/>
    <w:rsid w:val="00FE4C71"/>
    <w:rsid w:val="00FF3884"/>
    <w:rsid w:val="00FF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CCE42"/>
  <w15:chartTrackingRefBased/>
  <w15:docId w15:val="{85869822-2304-4490-A15E-4B2B44D2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185C"/>
    <w:pPr>
      <w:ind w:left="720"/>
      <w:contextualSpacing/>
    </w:pPr>
  </w:style>
  <w:style w:type="paragraph" w:customStyle="1" w:styleId="Default">
    <w:name w:val="Default"/>
    <w:rsid w:val="004E5F67"/>
    <w:pPr>
      <w:widowControl w:val="0"/>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character" w:styleId="Hyperlink">
    <w:name w:val="Hyperlink"/>
    <w:basedOn w:val="DefaultParagraphFont"/>
    <w:uiPriority w:val="99"/>
    <w:unhideWhenUsed/>
    <w:rsid w:val="004E5F67"/>
    <w:rPr>
      <w:color w:val="0563C1" w:themeColor="hyperlink"/>
      <w:u w:val="single"/>
    </w:rPr>
  </w:style>
  <w:style w:type="paragraph" w:styleId="Header">
    <w:name w:val="header"/>
    <w:basedOn w:val="Normal"/>
    <w:link w:val="HeaderChar"/>
    <w:uiPriority w:val="99"/>
    <w:unhideWhenUsed/>
    <w:rsid w:val="00DD7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07E"/>
  </w:style>
  <w:style w:type="paragraph" w:styleId="Footer">
    <w:name w:val="footer"/>
    <w:basedOn w:val="Normal"/>
    <w:link w:val="FooterChar"/>
    <w:uiPriority w:val="99"/>
    <w:unhideWhenUsed/>
    <w:rsid w:val="00DD7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07E"/>
  </w:style>
  <w:style w:type="character" w:styleId="UnresolvedMention">
    <w:name w:val="Unresolved Mention"/>
    <w:basedOn w:val="DefaultParagraphFont"/>
    <w:uiPriority w:val="99"/>
    <w:semiHidden/>
    <w:unhideWhenUsed/>
    <w:rsid w:val="006C08DE"/>
    <w:rPr>
      <w:color w:val="605E5C"/>
      <w:shd w:val="clear" w:color="auto" w:fill="E1DFDD"/>
    </w:rPr>
  </w:style>
  <w:style w:type="character" w:styleId="FollowedHyperlink">
    <w:name w:val="FollowedHyperlink"/>
    <w:basedOn w:val="DefaultParagraphFont"/>
    <w:uiPriority w:val="99"/>
    <w:semiHidden/>
    <w:unhideWhenUsed/>
    <w:rsid w:val="00D627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bausch.com/globalassets/pdf/PackageInserts/Pharma/vyzulta-prescribing-information.pdf?utm_source=bing&amp;utm_medium=cpc&amp;utm_campaign=22_Vyzulta_HCP_Branded_Brand&amp;utm_content=Vyzulta_General_Exact&amp;utm_term=vyzulta" TargetMode="External"/><Relationship Id="rId5" Type="http://schemas.openxmlformats.org/officeDocument/2006/relationships/styles" Target="styles.xml"/><Relationship Id="rId10" Type="http://schemas.openxmlformats.org/officeDocument/2006/relationships/hyperlink" Target="http://www.fda.gov/medwat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9c5592-d69d-4c68-97f1-602ab6743d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A24C67C3C068449E46E491529C590D" ma:contentTypeVersion="15" ma:contentTypeDescription="Create a new document." ma:contentTypeScope="" ma:versionID="c0ab094dae0f54630cc42fba36cfb53a">
  <xsd:schema xmlns:xsd="http://www.w3.org/2001/XMLSchema" xmlns:xs="http://www.w3.org/2001/XMLSchema" xmlns:p="http://schemas.microsoft.com/office/2006/metadata/properties" xmlns:ns3="c49c5592-d69d-4c68-97f1-602ab6743db3" xmlns:ns4="639a16df-304c-4ae5-8321-66843cbe18ba" targetNamespace="http://schemas.microsoft.com/office/2006/metadata/properties" ma:root="true" ma:fieldsID="93204c474b2b42f230588b222b4acfa3" ns3:_="" ns4:_="">
    <xsd:import namespace="c49c5592-d69d-4c68-97f1-602ab6743db3"/>
    <xsd:import namespace="639a16df-304c-4ae5-8321-66843cbe18b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c5592-d69d-4c68-97f1-602ab6743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9a16df-304c-4ae5-8321-66843cbe18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D29BE-E3DA-4C6C-917D-714637214117}">
  <ds:schemaRefs>
    <ds:schemaRef ds:uri="http://purl.org/dc/terms/"/>
    <ds:schemaRef ds:uri="http://schemas.microsoft.com/office/2006/documentManagement/types"/>
    <ds:schemaRef ds:uri="c49c5592-d69d-4c68-97f1-602ab6743db3"/>
    <ds:schemaRef ds:uri="http://purl.org/dc/elements/1.1/"/>
    <ds:schemaRef ds:uri="639a16df-304c-4ae5-8321-66843cbe18ba"/>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FD7873C-3C8B-47E2-A83A-E34DAACCCCA1}">
  <ds:schemaRefs>
    <ds:schemaRef ds:uri="http://schemas.microsoft.com/sharepoint/v3/contenttype/forms"/>
  </ds:schemaRefs>
</ds:datastoreItem>
</file>

<file path=customXml/itemProps3.xml><?xml version="1.0" encoding="utf-8"?>
<ds:datastoreItem xmlns:ds="http://schemas.openxmlformats.org/officeDocument/2006/customXml" ds:itemID="{D6B39894-0DC9-447C-A55D-E85AB5813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c5592-d69d-4c68-97f1-602ab6743db3"/>
    <ds:schemaRef ds:uri="639a16df-304c-4ae5-8321-66843cbe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Jewell, Robert</dc:creator>
  <cp:keywords/>
  <dc:description/>
  <cp:lastModifiedBy>Jewell, Robert</cp:lastModifiedBy>
  <cp:revision>2</cp:revision>
  <dcterms:created xsi:type="dcterms:W3CDTF">2025-01-22T00:25:00Z</dcterms:created>
  <dcterms:modified xsi:type="dcterms:W3CDTF">2025-01-22T00:25:00Z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0x01010010A24C67C3C068449E46E491529C590D</vt:lpwstr>
  </property>
</Properties>
</file>